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C5A2D" w14:textId="77777777" w:rsidR="00376843" w:rsidRPr="00B34F41" w:rsidRDefault="00376843" w:rsidP="00376843">
      <w:pPr>
        <w:rPr>
          <w:rFonts w:ascii="Arial" w:hAnsi="Arial" w:cs="Arial"/>
        </w:rPr>
      </w:pPr>
      <w:r w:rsidRPr="00B34F41">
        <w:rPr>
          <w:rFonts w:ascii="Arial" w:hAnsi="Arial" w:cs="Arial"/>
          <w:b/>
          <w:bCs/>
        </w:rPr>
        <w:t>Acasta to Showcase Innovation and Growth at BIBA 2025: ‘A New Era’</w:t>
      </w:r>
    </w:p>
    <w:p w14:paraId="2AEC37C2" w14:textId="08137987" w:rsidR="00376843" w:rsidRPr="00B34F41" w:rsidRDefault="00376843" w:rsidP="00376843">
      <w:pPr>
        <w:rPr>
          <w:rFonts w:ascii="Arial" w:hAnsi="Arial" w:cs="Arial"/>
        </w:rPr>
      </w:pPr>
      <w:r w:rsidRPr="00B34F41">
        <w:rPr>
          <w:rFonts w:ascii="Arial" w:hAnsi="Arial" w:cs="Arial"/>
        </w:rPr>
        <w:t xml:space="preserve">Acasta is excited to announce its participation in BIBA 2025, the UK’s leading insurance event, taking place on </w:t>
      </w:r>
      <w:r w:rsidR="00E33AE2" w:rsidRPr="00B34F41">
        <w:rPr>
          <w:rFonts w:ascii="Arial" w:hAnsi="Arial" w:cs="Arial"/>
        </w:rPr>
        <w:t>14</w:t>
      </w:r>
      <w:r w:rsidR="00E33AE2" w:rsidRPr="00B34F41">
        <w:rPr>
          <w:rFonts w:ascii="Arial" w:hAnsi="Arial" w:cs="Arial"/>
          <w:vertAlign w:val="superscript"/>
        </w:rPr>
        <w:t>th</w:t>
      </w:r>
      <w:r w:rsidR="00E33AE2" w:rsidRPr="00B34F41">
        <w:rPr>
          <w:rFonts w:ascii="Arial" w:hAnsi="Arial" w:cs="Arial"/>
        </w:rPr>
        <w:t xml:space="preserve"> – 15</w:t>
      </w:r>
      <w:r w:rsidR="00E33AE2" w:rsidRPr="00B34F41">
        <w:rPr>
          <w:rFonts w:ascii="Arial" w:hAnsi="Arial" w:cs="Arial"/>
          <w:vertAlign w:val="superscript"/>
        </w:rPr>
        <w:t>th</w:t>
      </w:r>
      <w:r w:rsidR="00E33AE2" w:rsidRPr="00B34F41">
        <w:rPr>
          <w:rFonts w:ascii="Arial" w:hAnsi="Arial" w:cs="Arial"/>
        </w:rPr>
        <w:t xml:space="preserve"> May i</w:t>
      </w:r>
      <w:r w:rsidRPr="00B34F41">
        <w:rPr>
          <w:rFonts w:ascii="Arial" w:hAnsi="Arial" w:cs="Arial"/>
        </w:rPr>
        <w:t xml:space="preserve">n Manchester. With this year’s theme, ‘A New Era,’ </w:t>
      </w:r>
      <w:r w:rsidR="00290E99" w:rsidRPr="00B34F41">
        <w:rPr>
          <w:rFonts w:ascii="Arial" w:hAnsi="Arial" w:cs="Arial"/>
        </w:rPr>
        <w:t>our team</w:t>
      </w:r>
      <w:r w:rsidRPr="00B34F41">
        <w:rPr>
          <w:rFonts w:ascii="Arial" w:hAnsi="Arial" w:cs="Arial"/>
        </w:rPr>
        <w:t xml:space="preserve"> will highlight </w:t>
      </w:r>
      <w:r w:rsidR="003334DA" w:rsidRPr="00B34F41">
        <w:rPr>
          <w:rFonts w:ascii="Arial" w:hAnsi="Arial" w:cs="Arial"/>
        </w:rPr>
        <w:t>new sales system</w:t>
      </w:r>
      <w:r w:rsidR="0004201F" w:rsidRPr="00B34F41">
        <w:rPr>
          <w:rFonts w:ascii="Arial" w:hAnsi="Arial" w:cs="Arial"/>
        </w:rPr>
        <w:t xml:space="preserve"> and compliance-focused solutions designed to help brokers streamline operations and stay ahead of regulatory changes</w:t>
      </w:r>
      <w:r w:rsidR="00DF08FA" w:rsidRPr="00B34F41">
        <w:rPr>
          <w:rFonts w:ascii="Arial" w:hAnsi="Arial" w:cs="Arial"/>
        </w:rPr>
        <w:t>.</w:t>
      </w:r>
    </w:p>
    <w:p w14:paraId="0B90A320" w14:textId="294620CC" w:rsidR="00EB37BF" w:rsidRPr="00B34F41" w:rsidRDefault="00376843" w:rsidP="00376843">
      <w:pPr>
        <w:rPr>
          <w:rFonts w:ascii="Arial" w:hAnsi="Arial" w:cs="Arial"/>
        </w:rPr>
      </w:pPr>
      <w:r w:rsidRPr="00B34F41">
        <w:rPr>
          <w:rFonts w:ascii="Arial" w:hAnsi="Arial" w:cs="Arial"/>
        </w:rPr>
        <w:t xml:space="preserve">As the industry enters a new era, Acasta remains committed to empowering brokers with </w:t>
      </w:r>
      <w:r w:rsidR="003E40B8" w:rsidRPr="00B34F41">
        <w:rPr>
          <w:rFonts w:ascii="Arial" w:hAnsi="Arial" w:cs="Arial"/>
        </w:rPr>
        <w:t>supportive</w:t>
      </w:r>
      <w:r w:rsidRPr="00B34F41">
        <w:rPr>
          <w:rFonts w:ascii="Arial" w:hAnsi="Arial" w:cs="Arial"/>
        </w:rPr>
        <w:t xml:space="preserve"> technology, adaptive products, and compliance support. </w:t>
      </w:r>
      <w:r w:rsidR="001758DF" w:rsidRPr="00B34F41">
        <w:rPr>
          <w:rFonts w:ascii="Arial" w:hAnsi="Arial" w:cs="Arial"/>
        </w:rPr>
        <w:t xml:space="preserve">Attendees at stand A38 can see </w:t>
      </w:r>
      <w:r w:rsidR="00EB37BF" w:rsidRPr="00B34F41">
        <w:rPr>
          <w:rFonts w:ascii="Arial" w:hAnsi="Arial" w:cs="Arial"/>
        </w:rPr>
        <w:t xml:space="preserve">a live </w:t>
      </w:r>
      <w:r w:rsidR="001758DF" w:rsidRPr="00B34F41">
        <w:rPr>
          <w:rFonts w:ascii="Arial" w:hAnsi="Arial" w:cs="Arial"/>
        </w:rPr>
        <w:t>demo of Acasta’s latest policy management system and API integrations, designed to reduce admin work and improve efficiency</w:t>
      </w:r>
      <w:r w:rsidR="00EB37BF" w:rsidRPr="00B34F41">
        <w:rPr>
          <w:rFonts w:ascii="Arial" w:hAnsi="Arial" w:cs="Arial"/>
        </w:rPr>
        <w:t>.</w:t>
      </w:r>
    </w:p>
    <w:p w14:paraId="4E467B75" w14:textId="590ABA0E" w:rsidR="00376843" w:rsidRPr="00B34F41" w:rsidRDefault="00376843" w:rsidP="00376843">
      <w:pPr>
        <w:rPr>
          <w:rFonts w:ascii="Arial" w:hAnsi="Arial" w:cs="Arial"/>
          <w:b/>
          <w:bCs/>
        </w:rPr>
      </w:pPr>
      <w:r w:rsidRPr="00B34F41">
        <w:rPr>
          <w:rFonts w:ascii="Arial" w:hAnsi="Arial" w:cs="Arial"/>
          <w:b/>
          <w:bCs/>
        </w:rPr>
        <w:t>Acasta’s Commitment to a New Era</w:t>
      </w:r>
    </w:p>
    <w:p w14:paraId="2FCE0148" w14:textId="77777777" w:rsidR="001E02FF" w:rsidRPr="00B34F41" w:rsidRDefault="00376843" w:rsidP="00376843">
      <w:pPr>
        <w:rPr>
          <w:rFonts w:ascii="Arial" w:hAnsi="Arial" w:cs="Arial"/>
        </w:rPr>
      </w:pPr>
      <w:r w:rsidRPr="00B34F41">
        <w:rPr>
          <w:rFonts w:ascii="Arial" w:hAnsi="Arial" w:cs="Arial"/>
        </w:rPr>
        <w:t>Graeme Trudgill</w:t>
      </w:r>
      <w:r w:rsidR="00B85334" w:rsidRPr="00B34F41">
        <w:rPr>
          <w:rFonts w:ascii="Arial" w:hAnsi="Arial" w:cs="Arial"/>
        </w:rPr>
        <w:t xml:space="preserve">’s </w:t>
      </w:r>
      <w:r w:rsidR="00551043" w:rsidRPr="00B34F41">
        <w:rPr>
          <w:rFonts w:ascii="Arial" w:hAnsi="Arial" w:cs="Arial"/>
        </w:rPr>
        <w:t>s</w:t>
      </w:r>
      <w:r w:rsidR="001C550B" w:rsidRPr="00B34F41">
        <w:rPr>
          <w:rFonts w:ascii="Arial" w:hAnsi="Arial" w:cs="Arial"/>
        </w:rPr>
        <w:t>tated</w:t>
      </w:r>
      <w:r w:rsidR="005E6A71" w:rsidRPr="00B34F41">
        <w:rPr>
          <w:rFonts w:ascii="Arial" w:hAnsi="Arial" w:cs="Arial"/>
        </w:rPr>
        <w:t xml:space="preserve">, </w:t>
      </w:r>
      <w:r w:rsidR="00EC3560" w:rsidRPr="00B34F41">
        <w:rPr>
          <w:rFonts w:ascii="Arial" w:hAnsi="Arial" w:cs="Arial"/>
        </w:rPr>
        <w:t>“Now</w:t>
      </w:r>
      <w:r w:rsidR="00C318F3" w:rsidRPr="00B34F41">
        <w:rPr>
          <w:rFonts w:ascii="Arial" w:hAnsi="Arial" w:cs="Arial"/>
        </w:rPr>
        <w:t xml:space="preserve"> is the time to look forward with a fresh perspective on what’s to come. I know that our members will find insurance solutions for the new risks people and businesses will face as we enter ‘</w:t>
      </w:r>
      <w:r w:rsidR="00C318F3" w:rsidRPr="00B34F41">
        <w:rPr>
          <w:rFonts w:ascii="Arial" w:hAnsi="Arial" w:cs="Arial"/>
          <w:i/>
          <w:iCs/>
        </w:rPr>
        <w:t>A New Era</w:t>
      </w:r>
      <w:r w:rsidR="00C318F3" w:rsidRPr="00B34F41">
        <w:rPr>
          <w:rFonts w:ascii="Arial" w:hAnsi="Arial" w:cs="Arial"/>
        </w:rPr>
        <w:t>’ of broking.”</w:t>
      </w:r>
      <w:r w:rsidR="000D3093" w:rsidRPr="00B34F41">
        <w:rPr>
          <w:rFonts w:ascii="Arial" w:hAnsi="Arial" w:cs="Arial"/>
        </w:rPr>
        <w:t xml:space="preserve"> </w:t>
      </w:r>
    </w:p>
    <w:p w14:paraId="00FB1CA9" w14:textId="50EDE523" w:rsidR="00376843" w:rsidRPr="00B34F41" w:rsidRDefault="005E6A71" w:rsidP="00376843">
      <w:pPr>
        <w:rPr>
          <w:rFonts w:ascii="Arial" w:hAnsi="Arial" w:cs="Arial"/>
        </w:rPr>
      </w:pPr>
      <w:r w:rsidRPr="00B34F41">
        <w:rPr>
          <w:rFonts w:ascii="Arial" w:hAnsi="Arial" w:cs="Arial"/>
        </w:rPr>
        <w:t>Echoing this vision</w:t>
      </w:r>
      <w:r w:rsidR="00C318F3" w:rsidRPr="00B34F41">
        <w:rPr>
          <w:rFonts w:ascii="Arial" w:hAnsi="Arial" w:cs="Arial"/>
        </w:rPr>
        <w:t xml:space="preserve">, </w:t>
      </w:r>
      <w:r w:rsidR="000D3093" w:rsidRPr="00B34F41">
        <w:rPr>
          <w:rFonts w:ascii="Arial" w:hAnsi="Arial" w:cs="Arial"/>
        </w:rPr>
        <w:t xml:space="preserve">Mike Gallagher, Managing Director of Acasta European Insurance Company limited </w:t>
      </w:r>
      <w:r w:rsidR="00551043" w:rsidRPr="00B34F41">
        <w:rPr>
          <w:rFonts w:ascii="Arial" w:hAnsi="Arial" w:cs="Arial"/>
        </w:rPr>
        <w:t>said</w:t>
      </w:r>
      <w:r w:rsidR="00F00CCC" w:rsidRPr="00B34F41">
        <w:rPr>
          <w:rFonts w:ascii="Arial" w:hAnsi="Arial" w:cs="Arial"/>
        </w:rPr>
        <w:t>: “</w:t>
      </w:r>
      <w:r w:rsidR="00376843" w:rsidRPr="00B34F41">
        <w:rPr>
          <w:rFonts w:ascii="Arial" w:hAnsi="Arial" w:cs="Arial"/>
        </w:rPr>
        <w:t xml:space="preserve">At Acasta, we are wholeheartedly embracing this sentiment. </w:t>
      </w:r>
      <w:r w:rsidR="00F00CCC" w:rsidRPr="00B34F41">
        <w:rPr>
          <w:rFonts w:ascii="Arial" w:hAnsi="Arial" w:cs="Arial"/>
        </w:rPr>
        <w:t xml:space="preserve">The insurance landscape is evolving rapidly, and brokers need the right tools and support to succeed. </w:t>
      </w:r>
      <w:r w:rsidR="00376843" w:rsidRPr="00B34F41">
        <w:rPr>
          <w:rFonts w:ascii="Arial" w:hAnsi="Arial" w:cs="Arial"/>
        </w:rPr>
        <w:t xml:space="preserve">Acasta is committed </w:t>
      </w:r>
      <w:r w:rsidR="00B35DF0" w:rsidRPr="00B34F41">
        <w:rPr>
          <w:rFonts w:ascii="Arial" w:hAnsi="Arial" w:cs="Arial"/>
        </w:rPr>
        <w:t>developing user-friendly digital solutions that help brokers automate workflows, reduce paperwork, and stay compliant with evolving regulations.</w:t>
      </w:r>
    </w:p>
    <w:p w14:paraId="6F260DC2" w14:textId="6C87BB44" w:rsidR="0035754A" w:rsidRPr="00B34F41" w:rsidRDefault="0035754A" w:rsidP="0035754A">
      <w:pPr>
        <w:rPr>
          <w:rFonts w:ascii="Arial" w:hAnsi="Arial" w:cs="Arial"/>
        </w:rPr>
      </w:pPr>
      <w:r w:rsidRPr="00B34F41">
        <w:rPr>
          <w:rFonts w:ascii="Arial" w:hAnsi="Arial" w:cs="Arial"/>
        </w:rPr>
        <w:t>Acasta invites all attendees to visit our stand to discuss an array of topics, including the f</w:t>
      </w:r>
      <w:r w:rsidR="00410B6C" w:rsidRPr="00B34F41">
        <w:rPr>
          <w:rFonts w:ascii="Arial" w:hAnsi="Arial" w:cs="Arial"/>
        </w:rPr>
        <w:t xml:space="preserve">ollowing: </w:t>
      </w:r>
    </w:p>
    <w:p w14:paraId="72DEB478" w14:textId="77777777" w:rsidR="00376843" w:rsidRPr="00B34F41" w:rsidRDefault="00376843" w:rsidP="00376843">
      <w:pPr>
        <w:rPr>
          <w:rFonts w:ascii="Arial" w:hAnsi="Arial" w:cs="Arial"/>
          <w:b/>
          <w:bCs/>
        </w:rPr>
      </w:pPr>
      <w:r w:rsidRPr="00B34F41">
        <w:rPr>
          <w:rFonts w:ascii="Arial" w:hAnsi="Arial" w:cs="Arial"/>
          <w:b/>
          <w:bCs/>
        </w:rPr>
        <w:t>Innovation, The Future of Broking &amp; Growth Opportunities</w:t>
      </w:r>
    </w:p>
    <w:p w14:paraId="7D2AA1E2" w14:textId="1D3FA7B2" w:rsidR="00572E68" w:rsidRPr="00B34F41" w:rsidRDefault="00572E68" w:rsidP="00572E68">
      <w:pPr>
        <w:rPr>
          <w:rFonts w:ascii="Arial" w:hAnsi="Arial" w:cs="Arial"/>
        </w:rPr>
      </w:pPr>
      <w:r w:rsidRPr="00B34F41">
        <w:rPr>
          <w:rFonts w:ascii="Arial" w:hAnsi="Arial" w:cs="Arial"/>
        </w:rPr>
        <w:t xml:space="preserve">Acasta is unveiling its latest sales system and enhanced API functionality. Our </w:t>
      </w:r>
      <w:r w:rsidR="00812FAF" w:rsidRPr="00B34F41">
        <w:rPr>
          <w:rFonts w:ascii="Arial" w:hAnsi="Arial" w:cs="Arial"/>
        </w:rPr>
        <w:t xml:space="preserve">new </w:t>
      </w:r>
      <w:r w:rsidRPr="00B34F41">
        <w:rPr>
          <w:rFonts w:ascii="Arial" w:hAnsi="Arial" w:cs="Arial"/>
        </w:rPr>
        <w:t>sales platform now offers a wider range of off-the-shelf products, including GAP, Wedding, Excess and Warranty, designed to help brokers and MGAs start selling quickly. It provides comprehensive tools to manage the entire policy lifecycle—from inception to document distribution and updates.</w:t>
      </w:r>
    </w:p>
    <w:p w14:paraId="67914E1D" w14:textId="50A8308B" w:rsidR="00572E68" w:rsidRPr="00B34F41" w:rsidRDefault="00572E68" w:rsidP="00572E68">
      <w:pPr>
        <w:rPr>
          <w:rFonts w:ascii="Arial" w:hAnsi="Arial" w:cs="Arial"/>
        </w:rPr>
      </w:pPr>
      <w:r w:rsidRPr="00B34F41">
        <w:rPr>
          <w:rFonts w:ascii="Arial" w:hAnsi="Arial" w:cs="Arial"/>
        </w:rPr>
        <w:t>We’ve also introduced API support, enabling seamless system integration, workflow automation and reduced manual effort. These advancements enhance broker operations, boosting efficiency and customer experience. As the broking landscape evolves, Acasta’s technology empowers partners to stay ahead and seize new opportunities.</w:t>
      </w:r>
    </w:p>
    <w:p w14:paraId="77008055" w14:textId="77777777" w:rsidR="00376843" w:rsidRPr="00B34F41" w:rsidRDefault="00376843" w:rsidP="00376843">
      <w:pPr>
        <w:rPr>
          <w:rFonts w:ascii="Arial" w:hAnsi="Arial" w:cs="Arial"/>
          <w:b/>
          <w:bCs/>
        </w:rPr>
      </w:pPr>
      <w:r w:rsidRPr="00B34F41">
        <w:rPr>
          <w:rFonts w:ascii="Arial" w:hAnsi="Arial" w:cs="Arial"/>
          <w:b/>
          <w:bCs/>
        </w:rPr>
        <w:t>Regulatory &amp; Compliance Challenges in a New Era</w:t>
      </w:r>
    </w:p>
    <w:p w14:paraId="69483835" w14:textId="54ECAA13" w:rsidR="00376843" w:rsidRPr="00B34F41" w:rsidRDefault="00376843" w:rsidP="00376843">
      <w:pPr>
        <w:rPr>
          <w:rFonts w:ascii="Arial" w:hAnsi="Arial" w:cs="Arial"/>
        </w:rPr>
      </w:pPr>
      <w:r w:rsidRPr="00B34F41">
        <w:rPr>
          <w:rFonts w:ascii="Arial" w:hAnsi="Arial" w:cs="Arial"/>
        </w:rPr>
        <w:t xml:space="preserve">Navigating the evolving regulatory landscape is crucial for brokers. Acasta provides dedicated support to ensure compliance with new regulations, including adherence to Consumer Duty requirements. </w:t>
      </w:r>
      <w:r w:rsidR="006C2C82" w:rsidRPr="00B34F41">
        <w:rPr>
          <w:rFonts w:ascii="Arial" w:hAnsi="Arial" w:cs="Arial"/>
        </w:rPr>
        <w:t>With a commitment to offer</w:t>
      </w:r>
      <w:r w:rsidRPr="00B34F41">
        <w:rPr>
          <w:rFonts w:ascii="Arial" w:hAnsi="Arial" w:cs="Arial"/>
        </w:rPr>
        <w:t xml:space="preserve"> guidance and </w:t>
      </w:r>
      <w:r w:rsidRPr="00B34F41">
        <w:rPr>
          <w:rFonts w:ascii="Arial" w:hAnsi="Arial" w:cs="Arial"/>
        </w:rPr>
        <w:lastRenderedPageBreak/>
        <w:t>compliance-focused solutions, Acasta helps brokers grow their business while maintaining regulatory integrity.</w:t>
      </w:r>
    </w:p>
    <w:p w14:paraId="12A148DC" w14:textId="77777777" w:rsidR="00376843" w:rsidRPr="00B34F41" w:rsidRDefault="00376843" w:rsidP="00376843">
      <w:pPr>
        <w:rPr>
          <w:rFonts w:ascii="Arial" w:hAnsi="Arial" w:cs="Arial"/>
          <w:b/>
          <w:bCs/>
        </w:rPr>
      </w:pPr>
      <w:r w:rsidRPr="00B34F41">
        <w:rPr>
          <w:rFonts w:ascii="Arial" w:hAnsi="Arial" w:cs="Arial"/>
          <w:b/>
          <w:bCs/>
        </w:rPr>
        <w:t>Economic Uncertainty &amp; Cost-of-Living Crisis</w:t>
      </w:r>
    </w:p>
    <w:p w14:paraId="5074E036" w14:textId="0EF1888B" w:rsidR="00376843" w:rsidRPr="00B34F41" w:rsidRDefault="00376843" w:rsidP="00376843">
      <w:pPr>
        <w:rPr>
          <w:rFonts w:ascii="Arial" w:hAnsi="Arial" w:cs="Arial"/>
        </w:rPr>
      </w:pPr>
      <w:r w:rsidRPr="00B34F41">
        <w:rPr>
          <w:rFonts w:ascii="Arial" w:hAnsi="Arial" w:cs="Arial"/>
        </w:rPr>
        <w:t>With ongoing economic challenges, Acasta remains committed to supporting both brokers and policyholders. The company offers flexible insurance solutions that c</w:t>
      </w:r>
      <w:r w:rsidR="006C2C82" w:rsidRPr="00B34F41">
        <w:rPr>
          <w:rFonts w:ascii="Arial" w:hAnsi="Arial" w:cs="Arial"/>
        </w:rPr>
        <w:t xml:space="preserve">an cater to clients who may be </w:t>
      </w:r>
      <w:r w:rsidRPr="00B34F41">
        <w:rPr>
          <w:rFonts w:ascii="Arial" w:hAnsi="Arial" w:cs="Arial"/>
        </w:rPr>
        <w:t>facing financial pressures. These adaptable products provide brokers with competitive options, helping them differentiate in an increasingly challenging market.</w:t>
      </w:r>
    </w:p>
    <w:p w14:paraId="2ECA4B9D" w14:textId="77777777" w:rsidR="00376843" w:rsidRPr="00B34F41" w:rsidRDefault="00376843" w:rsidP="00376843">
      <w:pPr>
        <w:rPr>
          <w:rFonts w:ascii="Arial" w:hAnsi="Arial" w:cs="Arial"/>
          <w:b/>
          <w:bCs/>
        </w:rPr>
      </w:pPr>
      <w:r w:rsidRPr="00B34F41">
        <w:rPr>
          <w:rFonts w:ascii="Arial" w:hAnsi="Arial" w:cs="Arial"/>
          <w:b/>
          <w:bCs/>
        </w:rPr>
        <w:t>Changing Risks &amp; Emerging Insurance</w:t>
      </w:r>
    </w:p>
    <w:p w14:paraId="300FCA33" w14:textId="56482D3D" w:rsidR="004324CC" w:rsidRPr="00B34F41" w:rsidRDefault="00236954" w:rsidP="00376843">
      <w:pPr>
        <w:rPr>
          <w:rFonts w:ascii="Arial" w:hAnsi="Arial" w:cs="Arial"/>
        </w:rPr>
      </w:pPr>
      <w:r w:rsidRPr="00B34F41">
        <w:rPr>
          <w:rFonts w:ascii="Arial" w:hAnsi="Arial" w:cs="Arial"/>
        </w:rPr>
        <w:t xml:space="preserve">As new risks continue to emerge, Acasta is focused on developing practical solutions that meet the changing needs of the insurance market. With the rise in cybersecurity threats, Acasta maintains </w:t>
      </w:r>
      <w:r w:rsidR="004324CC" w:rsidRPr="00B34F41">
        <w:rPr>
          <w:rFonts w:ascii="Arial" w:hAnsi="Arial" w:cs="Arial"/>
        </w:rPr>
        <w:t xml:space="preserve">a </w:t>
      </w:r>
      <w:r w:rsidRPr="00B34F41">
        <w:rPr>
          <w:rFonts w:ascii="Arial" w:hAnsi="Arial" w:cs="Arial"/>
        </w:rPr>
        <w:t xml:space="preserve">Cyber Essentials Plus certification and is actively building products to help brokers protect their clients against these challenges. By closely monitoring industry developments, we ensure our </w:t>
      </w:r>
      <w:r w:rsidR="004324CC" w:rsidRPr="00B34F41">
        <w:rPr>
          <w:rFonts w:ascii="Arial" w:hAnsi="Arial" w:cs="Arial"/>
        </w:rPr>
        <w:t xml:space="preserve">schemes </w:t>
      </w:r>
      <w:r w:rsidRPr="00B34F41">
        <w:rPr>
          <w:rFonts w:ascii="Arial" w:hAnsi="Arial" w:cs="Arial"/>
        </w:rPr>
        <w:t>remain relevant, comprehensive, and aligned with current broker demands.</w:t>
      </w:r>
    </w:p>
    <w:p w14:paraId="6DF2CB11" w14:textId="53C10CAA" w:rsidR="00376843" w:rsidRPr="00B34F41" w:rsidRDefault="00376843" w:rsidP="00376843">
      <w:pPr>
        <w:rPr>
          <w:rFonts w:ascii="Arial" w:hAnsi="Arial" w:cs="Arial"/>
          <w:b/>
          <w:bCs/>
        </w:rPr>
      </w:pPr>
      <w:r w:rsidRPr="00B34F41">
        <w:rPr>
          <w:rFonts w:ascii="Arial" w:hAnsi="Arial" w:cs="Arial"/>
          <w:b/>
          <w:bCs/>
        </w:rPr>
        <w:t>About Acasta</w:t>
      </w:r>
    </w:p>
    <w:p w14:paraId="15FF0367" w14:textId="6D0395C6" w:rsidR="00410B6C" w:rsidRPr="00B34F41" w:rsidRDefault="00EC434D" w:rsidP="00376843">
      <w:pPr>
        <w:rPr>
          <w:rFonts w:ascii="Arial" w:hAnsi="Arial" w:cs="Arial"/>
        </w:rPr>
      </w:pPr>
      <w:r w:rsidRPr="00B34F41">
        <w:rPr>
          <w:rFonts w:ascii="Arial" w:hAnsi="Arial" w:cs="Arial"/>
        </w:rPr>
        <w:t>At Acasta, we have successfully formed</w:t>
      </w:r>
      <w:r w:rsidR="00056E49" w:rsidRPr="00B34F41">
        <w:rPr>
          <w:rFonts w:ascii="Arial" w:hAnsi="Arial" w:cs="Arial"/>
        </w:rPr>
        <w:t xml:space="preserve"> partnerships with leading MGAs and brokers </w:t>
      </w:r>
      <w:r w:rsidR="00954518" w:rsidRPr="00B34F41">
        <w:rPr>
          <w:rFonts w:ascii="Arial" w:hAnsi="Arial" w:cs="Arial"/>
        </w:rPr>
        <w:t xml:space="preserve">that </w:t>
      </w:r>
      <w:r w:rsidR="00056E49" w:rsidRPr="00B34F41">
        <w:rPr>
          <w:rFonts w:ascii="Arial" w:hAnsi="Arial" w:cs="Arial"/>
        </w:rPr>
        <w:t>ha</w:t>
      </w:r>
      <w:r w:rsidR="00954518" w:rsidRPr="00B34F41">
        <w:rPr>
          <w:rFonts w:ascii="Arial" w:hAnsi="Arial" w:cs="Arial"/>
        </w:rPr>
        <w:t>s</w:t>
      </w:r>
      <w:r w:rsidR="00056E49" w:rsidRPr="00B34F41">
        <w:rPr>
          <w:rFonts w:ascii="Arial" w:hAnsi="Arial" w:cs="Arial"/>
        </w:rPr>
        <w:t xml:space="preserve"> enabled us to expand our product range, </w:t>
      </w:r>
      <w:r w:rsidR="0038453A" w:rsidRPr="00B34F41">
        <w:rPr>
          <w:rFonts w:ascii="Arial" w:hAnsi="Arial" w:cs="Arial"/>
        </w:rPr>
        <w:t xml:space="preserve">with business classes including </w:t>
      </w:r>
      <w:r w:rsidR="00056E49" w:rsidRPr="00B34F41">
        <w:rPr>
          <w:rFonts w:ascii="Arial" w:hAnsi="Arial" w:cs="Arial"/>
        </w:rPr>
        <w:t>GAP, and Warranty insurance.</w:t>
      </w:r>
      <w:r w:rsidR="007A4CD3" w:rsidRPr="00B34F41">
        <w:rPr>
          <w:rFonts w:ascii="Arial" w:hAnsi="Arial" w:cs="Arial"/>
        </w:rPr>
        <w:t xml:space="preserve"> </w:t>
      </w:r>
      <w:r w:rsidR="009856F2" w:rsidRPr="00B34F41">
        <w:rPr>
          <w:rFonts w:ascii="Arial" w:hAnsi="Arial" w:cs="Arial"/>
        </w:rPr>
        <w:t xml:space="preserve">Through continuous </w:t>
      </w:r>
      <w:r w:rsidR="004E1F8D" w:rsidRPr="00B34F41">
        <w:rPr>
          <w:rFonts w:ascii="Arial" w:hAnsi="Arial" w:cs="Arial"/>
        </w:rPr>
        <w:t>innovation and a customer-centric approach, we have expanded our offerings and strengthened our position in the industry</w:t>
      </w:r>
      <w:r w:rsidR="00F65C67" w:rsidRPr="00B34F41">
        <w:rPr>
          <w:rFonts w:ascii="Arial" w:hAnsi="Arial" w:cs="Arial"/>
        </w:rPr>
        <w:t>, earning an Underwriting Gold Aw</w:t>
      </w:r>
      <w:r w:rsidR="00F70CB1" w:rsidRPr="00B34F41">
        <w:rPr>
          <w:rFonts w:ascii="Arial" w:hAnsi="Arial" w:cs="Arial"/>
        </w:rPr>
        <w:t xml:space="preserve">ard for 2024 by Insurance </w:t>
      </w:r>
      <w:proofErr w:type="spellStart"/>
      <w:r w:rsidR="00F70CB1" w:rsidRPr="00B34F41">
        <w:rPr>
          <w:rFonts w:ascii="Arial" w:hAnsi="Arial" w:cs="Arial"/>
        </w:rPr>
        <w:t>Datalab</w:t>
      </w:r>
      <w:proofErr w:type="spellEnd"/>
      <w:r w:rsidR="004E1F8D" w:rsidRPr="00B34F41">
        <w:rPr>
          <w:rFonts w:ascii="Arial" w:hAnsi="Arial" w:cs="Arial"/>
        </w:rPr>
        <w:t xml:space="preserve">. </w:t>
      </w:r>
      <w:r w:rsidR="00A333E5" w:rsidRPr="00B34F41">
        <w:rPr>
          <w:rFonts w:ascii="Arial" w:hAnsi="Arial" w:cs="Arial"/>
        </w:rPr>
        <w:t xml:space="preserve">Find out how we can help you achieve your business objectives - </w:t>
      </w:r>
      <w:r w:rsidR="00410B6C" w:rsidRPr="00B34F41">
        <w:rPr>
          <w:rFonts w:ascii="Arial" w:hAnsi="Arial" w:cs="Arial"/>
        </w:rPr>
        <w:t>schedule a meeting with the Acasta team</w:t>
      </w:r>
      <w:r w:rsidR="001949EB" w:rsidRPr="00B34F41">
        <w:rPr>
          <w:rFonts w:ascii="Arial" w:hAnsi="Arial" w:cs="Arial"/>
        </w:rPr>
        <w:t xml:space="preserve"> here: </w:t>
      </w:r>
      <w:r w:rsidR="00BB01D8" w:rsidRPr="00B34F41">
        <w:rPr>
          <w:rFonts w:ascii="Arial" w:hAnsi="Arial" w:cs="Arial"/>
        </w:rPr>
        <w:t>https://www.acastainsurance.gi/meet-us-at-biba-2025/</w:t>
      </w:r>
    </w:p>
    <w:p w14:paraId="45D8E7B2" w14:textId="60BA3E61" w:rsidR="00376843" w:rsidRPr="00B34F41" w:rsidRDefault="00376843" w:rsidP="00376843">
      <w:pPr>
        <w:rPr>
          <w:rFonts w:ascii="Arial" w:hAnsi="Arial" w:cs="Arial"/>
        </w:rPr>
      </w:pPr>
      <w:r w:rsidRPr="00B34F41">
        <w:rPr>
          <w:rFonts w:ascii="Arial" w:hAnsi="Arial" w:cs="Arial"/>
          <w:b/>
          <w:bCs/>
        </w:rPr>
        <w:t>Media Contact:</w:t>
      </w:r>
      <w:r w:rsidRPr="00B34F41">
        <w:rPr>
          <w:rFonts w:ascii="Arial" w:hAnsi="Arial" w:cs="Arial"/>
        </w:rPr>
        <w:br/>
      </w:r>
      <w:r w:rsidR="00A333E5" w:rsidRPr="00B34F41">
        <w:rPr>
          <w:rFonts w:ascii="Arial" w:hAnsi="Arial" w:cs="Arial"/>
        </w:rPr>
        <w:t>Acasta Marketing Team</w:t>
      </w:r>
      <w:r w:rsidRPr="00B34F41">
        <w:rPr>
          <w:rFonts w:ascii="Arial" w:hAnsi="Arial" w:cs="Arial"/>
        </w:rPr>
        <w:br/>
      </w:r>
      <w:r w:rsidR="00A333E5" w:rsidRPr="00B34F41">
        <w:rPr>
          <w:rFonts w:ascii="Arial" w:hAnsi="Arial" w:cs="Arial"/>
        </w:rPr>
        <w:t>marketing@acastaeurope.co.uk</w:t>
      </w:r>
      <w:r w:rsidRPr="00B34F41">
        <w:rPr>
          <w:rFonts w:ascii="Arial" w:hAnsi="Arial" w:cs="Arial"/>
        </w:rPr>
        <w:br/>
      </w:r>
      <w:r w:rsidR="00A333E5" w:rsidRPr="00B34F41">
        <w:rPr>
          <w:rFonts w:ascii="Arial" w:hAnsi="Arial" w:cs="Arial"/>
        </w:rPr>
        <w:t>0800</w:t>
      </w:r>
      <w:r w:rsidR="00636DA0" w:rsidRPr="00B34F41">
        <w:rPr>
          <w:rFonts w:ascii="Arial" w:hAnsi="Arial" w:cs="Arial"/>
        </w:rPr>
        <w:t xml:space="preserve"> </w:t>
      </w:r>
      <w:proofErr w:type="gramStart"/>
      <w:r w:rsidR="00636DA0" w:rsidRPr="00B34F41">
        <w:rPr>
          <w:rFonts w:ascii="Arial" w:hAnsi="Arial" w:cs="Arial"/>
        </w:rPr>
        <w:t>668  1350</w:t>
      </w:r>
      <w:proofErr w:type="gramEnd"/>
    </w:p>
    <w:p w14:paraId="2A13068C" w14:textId="77777777" w:rsidR="00F900B0" w:rsidRDefault="00F900B0"/>
    <w:sectPr w:rsidR="00F900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843"/>
    <w:rsid w:val="0004201F"/>
    <w:rsid w:val="00056E49"/>
    <w:rsid w:val="000A118B"/>
    <w:rsid w:val="000A3E53"/>
    <w:rsid w:val="000B2011"/>
    <w:rsid w:val="000D3093"/>
    <w:rsid w:val="000E5C45"/>
    <w:rsid w:val="001504E7"/>
    <w:rsid w:val="001758DF"/>
    <w:rsid w:val="001949EB"/>
    <w:rsid w:val="001C550B"/>
    <w:rsid w:val="001E02FF"/>
    <w:rsid w:val="00236954"/>
    <w:rsid w:val="00290E99"/>
    <w:rsid w:val="003334DA"/>
    <w:rsid w:val="0035754A"/>
    <w:rsid w:val="00376843"/>
    <w:rsid w:val="0038453A"/>
    <w:rsid w:val="003E40B8"/>
    <w:rsid w:val="00410B6C"/>
    <w:rsid w:val="004324CC"/>
    <w:rsid w:val="004B6AB0"/>
    <w:rsid w:val="004D0871"/>
    <w:rsid w:val="004E1F8D"/>
    <w:rsid w:val="00551043"/>
    <w:rsid w:val="00572E68"/>
    <w:rsid w:val="005E6A71"/>
    <w:rsid w:val="00636DA0"/>
    <w:rsid w:val="006539E1"/>
    <w:rsid w:val="00686A29"/>
    <w:rsid w:val="006C2C82"/>
    <w:rsid w:val="007409B4"/>
    <w:rsid w:val="007A4CD3"/>
    <w:rsid w:val="007D6595"/>
    <w:rsid w:val="00812FAF"/>
    <w:rsid w:val="00954518"/>
    <w:rsid w:val="009856F2"/>
    <w:rsid w:val="00A171A9"/>
    <w:rsid w:val="00A333E5"/>
    <w:rsid w:val="00A83AF5"/>
    <w:rsid w:val="00B33364"/>
    <w:rsid w:val="00B34F41"/>
    <w:rsid w:val="00B35DF0"/>
    <w:rsid w:val="00B85334"/>
    <w:rsid w:val="00BB01D8"/>
    <w:rsid w:val="00C27798"/>
    <w:rsid w:val="00C318F3"/>
    <w:rsid w:val="00C9589F"/>
    <w:rsid w:val="00DC4250"/>
    <w:rsid w:val="00DF08FA"/>
    <w:rsid w:val="00E33AE2"/>
    <w:rsid w:val="00E37A2B"/>
    <w:rsid w:val="00EB37BF"/>
    <w:rsid w:val="00EC3560"/>
    <w:rsid w:val="00EC434D"/>
    <w:rsid w:val="00F00CCC"/>
    <w:rsid w:val="00F65C67"/>
    <w:rsid w:val="00F70CB1"/>
    <w:rsid w:val="00F90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0FA02"/>
  <w15:chartTrackingRefBased/>
  <w15:docId w15:val="{97F7FA53-99F0-4150-AA5C-6A314F6E4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68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68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68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68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68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68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68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68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68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68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68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68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68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68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8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8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843"/>
    <w:rPr>
      <w:rFonts w:eastAsiaTheme="majorEastAsia" w:cstheme="majorBidi"/>
      <w:color w:val="272727" w:themeColor="text1" w:themeTint="D8"/>
    </w:rPr>
  </w:style>
  <w:style w:type="paragraph" w:styleId="Title">
    <w:name w:val="Title"/>
    <w:basedOn w:val="Normal"/>
    <w:next w:val="Normal"/>
    <w:link w:val="TitleChar"/>
    <w:uiPriority w:val="10"/>
    <w:qFormat/>
    <w:rsid w:val="00376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8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8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8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843"/>
    <w:pPr>
      <w:spacing w:before="160"/>
      <w:jc w:val="center"/>
    </w:pPr>
    <w:rPr>
      <w:i/>
      <w:iCs/>
      <w:color w:val="404040" w:themeColor="text1" w:themeTint="BF"/>
    </w:rPr>
  </w:style>
  <w:style w:type="character" w:customStyle="1" w:styleId="QuoteChar">
    <w:name w:val="Quote Char"/>
    <w:basedOn w:val="DefaultParagraphFont"/>
    <w:link w:val="Quote"/>
    <w:uiPriority w:val="29"/>
    <w:rsid w:val="00376843"/>
    <w:rPr>
      <w:i/>
      <w:iCs/>
      <w:color w:val="404040" w:themeColor="text1" w:themeTint="BF"/>
    </w:rPr>
  </w:style>
  <w:style w:type="paragraph" w:styleId="ListParagraph">
    <w:name w:val="List Paragraph"/>
    <w:basedOn w:val="Normal"/>
    <w:uiPriority w:val="34"/>
    <w:qFormat/>
    <w:rsid w:val="00376843"/>
    <w:pPr>
      <w:ind w:left="720"/>
      <w:contextualSpacing/>
    </w:pPr>
  </w:style>
  <w:style w:type="character" w:styleId="IntenseEmphasis">
    <w:name w:val="Intense Emphasis"/>
    <w:basedOn w:val="DefaultParagraphFont"/>
    <w:uiPriority w:val="21"/>
    <w:qFormat/>
    <w:rsid w:val="00376843"/>
    <w:rPr>
      <w:i/>
      <w:iCs/>
      <w:color w:val="0F4761" w:themeColor="accent1" w:themeShade="BF"/>
    </w:rPr>
  </w:style>
  <w:style w:type="paragraph" w:styleId="IntenseQuote">
    <w:name w:val="Intense Quote"/>
    <w:basedOn w:val="Normal"/>
    <w:next w:val="Normal"/>
    <w:link w:val="IntenseQuoteChar"/>
    <w:uiPriority w:val="30"/>
    <w:qFormat/>
    <w:rsid w:val="003768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6843"/>
    <w:rPr>
      <w:i/>
      <w:iCs/>
      <w:color w:val="0F4761" w:themeColor="accent1" w:themeShade="BF"/>
    </w:rPr>
  </w:style>
  <w:style w:type="character" w:styleId="IntenseReference">
    <w:name w:val="Intense Reference"/>
    <w:basedOn w:val="DefaultParagraphFont"/>
    <w:uiPriority w:val="32"/>
    <w:qFormat/>
    <w:rsid w:val="003768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4832">
      <w:bodyDiv w:val="1"/>
      <w:marLeft w:val="0"/>
      <w:marRight w:val="0"/>
      <w:marTop w:val="0"/>
      <w:marBottom w:val="0"/>
      <w:divBdr>
        <w:top w:val="none" w:sz="0" w:space="0" w:color="auto"/>
        <w:left w:val="none" w:sz="0" w:space="0" w:color="auto"/>
        <w:bottom w:val="none" w:sz="0" w:space="0" w:color="auto"/>
        <w:right w:val="none" w:sz="0" w:space="0" w:color="auto"/>
      </w:divBdr>
    </w:div>
    <w:div w:id="224537447">
      <w:bodyDiv w:val="1"/>
      <w:marLeft w:val="0"/>
      <w:marRight w:val="0"/>
      <w:marTop w:val="0"/>
      <w:marBottom w:val="0"/>
      <w:divBdr>
        <w:top w:val="none" w:sz="0" w:space="0" w:color="auto"/>
        <w:left w:val="none" w:sz="0" w:space="0" w:color="auto"/>
        <w:bottom w:val="none" w:sz="0" w:space="0" w:color="auto"/>
        <w:right w:val="none" w:sz="0" w:space="0" w:color="auto"/>
      </w:divBdr>
    </w:div>
    <w:div w:id="398476618">
      <w:bodyDiv w:val="1"/>
      <w:marLeft w:val="0"/>
      <w:marRight w:val="0"/>
      <w:marTop w:val="0"/>
      <w:marBottom w:val="0"/>
      <w:divBdr>
        <w:top w:val="none" w:sz="0" w:space="0" w:color="auto"/>
        <w:left w:val="none" w:sz="0" w:space="0" w:color="auto"/>
        <w:bottom w:val="none" w:sz="0" w:space="0" w:color="auto"/>
        <w:right w:val="none" w:sz="0" w:space="0" w:color="auto"/>
      </w:divBdr>
    </w:div>
    <w:div w:id="548805969">
      <w:bodyDiv w:val="1"/>
      <w:marLeft w:val="0"/>
      <w:marRight w:val="0"/>
      <w:marTop w:val="0"/>
      <w:marBottom w:val="0"/>
      <w:divBdr>
        <w:top w:val="none" w:sz="0" w:space="0" w:color="auto"/>
        <w:left w:val="none" w:sz="0" w:space="0" w:color="auto"/>
        <w:bottom w:val="none" w:sz="0" w:space="0" w:color="auto"/>
        <w:right w:val="none" w:sz="0" w:space="0" w:color="auto"/>
      </w:divBdr>
    </w:div>
    <w:div w:id="1152791645">
      <w:bodyDiv w:val="1"/>
      <w:marLeft w:val="0"/>
      <w:marRight w:val="0"/>
      <w:marTop w:val="0"/>
      <w:marBottom w:val="0"/>
      <w:divBdr>
        <w:top w:val="none" w:sz="0" w:space="0" w:color="auto"/>
        <w:left w:val="none" w:sz="0" w:space="0" w:color="auto"/>
        <w:bottom w:val="none" w:sz="0" w:space="0" w:color="auto"/>
        <w:right w:val="none" w:sz="0" w:space="0" w:color="auto"/>
      </w:divBdr>
    </w:div>
    <w:div w:id="202913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1826</TotalTime>
  <Pages>2</Pages>
  <Words>634</Words>
  <Characters>3619</Characters>
  <Application>Microsoft Office Word</Application>
  <DocSecurity>0</DocSecurity>
  <Lines>30</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Coote</dc:creator>
  <cp:keywords/>
  <dc:description/>
  <cp:lastModifiedBy>Claudia Coote</cp:lastModifiedBy>
  <cp:revision>69</cp:revision>
  <dcterms:created xsi:type="dcterms:W3CDTF">2025-03-31T15:26:00Z</dcterms:created>
  <dcterms:modified xsi:type="dcterms:W3CDTF">2025-04-14T15:47:00Z</dcterms:modified>
</cp:coreProperties>
</file>