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BE41F" w14:textId="33FB8231" w:rsidR="007A26DE" w:rsidRDefault="00BF2C63" w:rsidP="000B6515">
      <w:pPr>
        <w:spacing w:line="278" w:lineRule="auto"/>
        <w:jc w:val="both"/>
        <w:rPr>
          <w:rFonts w:ascii="Open Sans" w:hAnsi="Open Sans" w:cs="Open Sans"/>
          <w:color w:val="002060"/>
          <w:sz w:val="23"/>
          <w:szCs w:val="23"/>
        </w:rPr>
      </w:pPr>
      <w:r>
        <w:rPr>
          <w:rFonts w:ascii="Open Sans" w:hAnsi="Open Sans" w:cs="Open Sans"/>
          <w:noProof/>
          <w:color w:val="002060"/>
          <w:sz w:val="23"/>
          <w:szCs w:val="23"/>
          <w14:ligatures w14:val="standardContextual"/>
        </w:rPr>
        <w:drawing>
          <wp:inline distT="0" distB="0" distL="0" distR="0" wp14:anchorId="52BE700F" wp14:editId="7BBA070D">
            <wp:extent cx="2736935" cy="896645"/>
            <wp:effectExtent l="0" t="0" r="6350" b="0"/>
            <wp:docPr id="42659131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91311" name="Picture 1" descr="A logo for a company&#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4457" cy="902385"/>
                    </a:xfrm>
                    <a:prstGeom prst="rect">
                      <a:avLst/>
                    </a:prstGeom>
                  </pic:spPr>
                </pic:pic>
              </a:graphicData>
            </a:graphic>
          </wp:inline>
        </w:drawing>
      </w:r>
    </w:p>
    <w:p w14:paraId="76A78E5D" w14:textId="77777777" w:rsidR="007A26DE" w:rsidRDefault="007A26DE" w:rsidP="000B6515">
      <w:pPr>
        <w:spacing w:line="278" w:lineRule="auto"/>
        <w:jc w:val="both"/>
        <w:rPr>
          <w:rFonts w:ascii="Open Sans" w:hAnsi="Open Sans" w:cs="Open Sans"/>
          <w:color w:val="002060"/>
          <w:sz w:val="23"/>
          <w:szCs w:val="23"/>
        </w:rPr>
      </w:pPr>
    </w:p>
    <w:p w14:paraId="47117D8D" w14:textId="77777777" w:rsidR="007A26DE" w:rsidRDefault="007A26DE" w:rsidP="000B6515">
      <w:pPr>
        <w:spacing w:line="278" w:lineRule="auto"/>
        <w:jc w:val="both"/>
        <w:rPr>
          <w:rFonts w:ascii="Open Sans" w:hAnsi="Open Sans" w:cs="Open Sans"/>
          <w:color w:val="002060"/>
          <w:sz w:val="23"/>
          <w:szCs w:val="23"/>
        </w:rPr>
      </w:pPr>
    </w:p>
    <w:p w14:paraId="783DC78C" w14:textId="77777777" w:rsidR="007A26DE" w:rsidRDefault="007A26DE" w:rsidP="000B6515">
      <w:pPr>
        <w:spacing w:line="278" w:lineRule="auto"/>
        <w:jc w:val="both"/>
        <w:rPr>
          <w:rFonts w:ascii="Open Sans" w:hAnsi="Open Sans" w:cs="Open Sans"/>
          <w:color w:val="002060"/>
          <w:sz w:val="23"/>
          <w:szCs w:val="23"/>
        </w:rPr>
      </w:pPr>
    </w:p>
    <w:p w14:paraId="7B0DB3E9" w14:textId="77777777" w:rsidR="007A26DE" w:rsidRDefault="007A26DE" w:rsidP="000B6515">
      <w:pPr>
        <w:spacing w:line="278" w:lineRule="auto"/>
        <w:jc w:val="both"/>
        <w:rPr>
          <w:rFonts w:ascii="Open Sans" w:hAnsi="Open Sans" w:cs="Open Sans"/>
          <w:color w:val="002060"/>
          <w:sz w:val="23"/>
          <w:szCs w:val="23"/>
        </w:rPr>
      </w:pPr>
    </w:p>
    <w:p w14:paraId="7683AC57" w14:textId="2FE6F5CF" w:rsidR="007A26DE" w:rsidRPr="00ED1083" w:rsidRDefault="00101877" w:rsidP="000B6515">
      <w:pPr>
        <w:spacing w:line="278" w:lineRule="auto"/>
        <w:jc w:val="both"/>
        <w:rPr>
          <w:rFonts w:ascii="Merriweather" w:hAnsi="Merriweather" w:cs="Open Sans"/>
          <w:b/>
          <w:bCs/>
          <w:color w:val="002060"/>
          <w:sz w:val="23"/>
          <w:szCs w:val="23"/>
        </w:rPr>
      </w:pPr>
      <w:r w:rsidRPr="00ED1083">
        <w:rPr>
          <w:rFonts w:ascii="Merriweather" w:hAnsi="Merriweather" w:cs="Open Sans"/>
          <w:b/>
          <w:bCs/>
          <w:color w:val="002060"/>
          <w:sz w:val="23"/>
          <w:szCs w:val="23"/>
        </w:rPr>
        <w:t xml:space="preserve">Zing365 </w:t>
      </w:r>
      <w:r w:rsidR="00660086" w:rsidRPr="00ED1083">
        <w:rPr>
          <w:rFonts w:ascii="Merriweather" w:hAnsi="Merriweather" w:cs="Open Sans"/>
          <w:b/>
          <w:bCs/>
          <w:color w:val="002060"/>
          <w:sz w:val="23"/>
          <w:szCs w:val="23"/>
        </w:rPr>
        <w:t xml:space="preserve">Total CPD </w:t>
      </w:r>
    </w:p>
    <w:p w14:paraId="7AF5D9E8" w14:textId="298158FD" w:rsidR="00ED1083" w:rsidRPr="00ED1083" w:rsidRDefault="00ED1083" w:rsidP="00ED1083">
      <w:pPr>
        <w:spacing w:before="100" w:beforeAutospacing="1" w:after="100" w:afterAutospacing="1"/>
        <w:rPr>
          <w:rFonts w:ascii="Abadi" w:eastAsia="Times New Roman" w:hAnsi="Abadi" w:cs="Times New Roman"/>
          <w:color w:val="002060"/>
          <w:sz w:val="24"/>
          <w:szCs w:val="24"/>
        </w:rPr>
      </w:pPr>
      <w:r w:rsidRPr="00ED1083">
        <w:rPr>
          <w:rFonts w:ascii="Abadi" w:eastAsia="Times New Roman" w:hAnsi="Abadi" w:cs="Times New Roman"/>
          <w:b/>
          <w:bCs/>
          <w:color w:val="002060"/>
          <w:sz w:val="24"/>
          <w:szCs w:val="24"/>
        </w:rPr>
        <w:t xml:space="preserve">Zing365 Launches Total CPD Solution </w:t>
      </w:r>
    </w:p>
    <w:p w14:paraId="44B596A3" w14:textId="794E7907" w:rsidR="00ED1083" w:rsidRPr="00ED1083" w:rsidRDefault="00ED1083" w:rsidP="00ED1083">
      <w:pPr>
        <w:spacing w:before="100" w:beforeAutospacing="1" w:after="100" w:afterAutospacing="1"/>
        <w:rPr>
          <w:rFonts w:ascii="Abadi" w:eastAsia="Times New Roman" w:hAnsi="Abadi" w:cs="Times New Roman"/>
          <w:color w:val="002060"/>
          <w:sz w:val="24"/>
          <w:szCs w:val="24"/>
        </w:rPr>
      </w:pPr>
      <w:r w:rsidRPr="00ED1083">
        <w:rPr>
          <w:rFonts w:ascii="Abadi" w:eastAsia="Times New Roman" w:hAnsi="Abadi" w:cs="Times New Roman"/>
          <w:color w:val="002060"/>
          <w:sz w:val="24"/>
          <w:szCs w:val="24"/>
        </w:rPr>
        <w:t xml:space="preserve">Zing365, a leading provider of training and development solutions, is proud to announce the launch of </w:t>
      </w:r>
      <w:r w:rsidRPr="00ED1083">
        <w:rPr>
          <w:rFonts w:ascii="Abadi" w:eastAsia="Times New Roman" w:hAnsi="Abadi" w:cs="Times New Roman"/>
          <w:b/>
          <w:bCs/>
          <w:color w:val="002060"/>
          <w:sz w:val="24"/>
          <w:szCs w:val="24"/>
        </w:rPr>
        <w:t>Zing Total CPD</w:t>
      </w:r>
      <w:r w:rsidRPr="00ED1083">
        <w:rPr>
          <w:rFonts w:ascii="Abadi" w:eastAsia="Times New Roman" w:hAnsi="Abadi" w:cs="Times New Roman"/>
          <w:color w:val="002060"/>
          <w:sz w:val="24"/>
          <w:szCs w:val="24"/>
        </w:rPr>
        <w:t xml:space="preserve">, a comprehensive learning and compliance </w:t>
      </w:r>
      <w:r>
        <w:rPr>
          <w:rFonts w:ascii="Abadi" w:eastAsia="Times New Roman" w:hAnsi="Abadi" w:cs="Times New Roman"/>
          <w:color w:val="002060"/>
          <w:sz w:val="24"/>
          <w:szCs w:val="24"/>
        </w:rPr>
        <w:t>solution</w:t>
      </w:r>
      <w:r w:rsidRPr="00ED1083">
        <w:rPr>
          <w:rFonts w:ascii="Abadi" w:eastAsia="Times New Roman" w:hAnsi="Abadi" w:cs="Times New Roman"/>
          <w:color w:val="002060"/>
          <w:sz w:val="24"/>
          <w:szCs w:val="24"/>
        </w:rPr>
        <w:t xml:space="preserve"> designed to empower individuals and businesses across the Insurance industry. The Total CPD solution brings together cutting-edge technology, expert-led content, and seamless delivery options to meet the evolving Continuing Professional Development needs of today’s insurance professionals.</w:t>
      </w:r>
    </w:p>
    <w:p w14:paraId="2DCF0062" w14:textId="5FBA62E2" w:rsidR="00F15FE7" w:rsidRDefault="00F15FE7" w:rsidP="00ED1083">
      <w:pPr>
        <w:spacing w:before="100" w:beforeAutospacing="1" w:after="100" w:afterAutospacing="1"/>
        <w:rPr>
          <w:rFonts w:ascii="Abadi" w:eastAsia="Times New Roman" w:hAnsi="Abadi" w:cs="Times New Roman"/>
          <w:color w:val="002060"/>
          <w:sz w:val="24"/>
          <w:szCs w:val="24"/>
        </w:rPr>
      </w:pPr>
      <w:r w:rsidRPr="00F15FE7">
        <w:rPr>
          <w:rFonts w:ascii="Abadi" w:eastAsia="Times New Roman" w:hAnsi="Abadi" w:cs="Times New Roman"/>
          <w:color w:val="002060"/>
          <w:sz w:val="24"/>
          <w:szCs w:val="24"/>
        </w:rPr>
        <w:t xml:space="preserve">At the heart of Zing Total CPD is </w:t>
      </w:r>
      <w:r w:rsidRPr="00F15FE7">
        <w:rPr>
          <w:rFonts w:ascii="Abadi" w:eastAsia="Times New Roman" w:hAnsi="Abadi" w:cs="Times New Roman"/>
          <w:b/>
          <w:bCs/>
          <w:color w:val="002060"/>
          <w:sz w:val="24"/>
          <w:szCs w:val="24"/>
        </w:rPr>
        <w:t>a world-class LMS</w:t>
      </w:r>
      <w:r w:rsidRPr="00F15FE7">
        <w:rPr>
          <w:rFonts w:ascii="Abadi" w:eastAsia="Times New Roman" w:hAnsi="Abadi" w:cs="Times New Roman"/>
          <w:color w:val="002060"/>
          <w:sz w:val="24"/>
          <w:szCs w:val="24"/>
        </w:rPr>
        <w:t xml:space="preserve"> tailored specifically for the Insurance Sector. This </w:t>
      </w:r>
      <w:r w:rsidR="0083194F">
        <w:rPr>
          <w:rFonts w:ascii="Abadi" w:eastAsia="Times New Roman" w:hAnsi="Abadi" w:cs="Times New Roman"/>
          <w:color w:val="002060"/>
          <w:sz w:val="24"/>
          <w:szCs w:val="24"/>
        </w:rPr>
        <w:t>innovative</w:t>
      </w:r>
      <w:r w:rsidRPr="00F15FE7">
        <w:rPr>
          <w:rFonts w:ascii="Abadi" w:eastAsia="Times New Roman" w:hAnsi="Abadi" w:cs="Times New Roman"/>
          <w:color w:val="002060"/>
          <w:sz w:val="24"/>
          <w:szCs w:val="24"/>
        </w:rPr>
        <w:t xml:space="preserve"> portal offers access to our full</w:t>
      </w:r>
      <w:r w:rsidRPr="00F15FE7">
        <w:rPr>
          <w:rFonts w:ascii="Abadi" w:eastAsia="Times New Roman" w:hAnsi="Abadi" w:cs="Times New Roman"/>
          <w:b/>
          <w:bCs/>
          <w:color w:val="002060"/>
          <w:sz w:val="24"/>
          <w:szCs w:val="24"/>
        </w:rPr>
        <w:t xml:space="preserve"> insurance e-learning content library </w:t>
      </w:r>
      <w:r w:rsidRPr="00F15FE7">
        <w:rPr>
          <w:rFonts w:ascii="Abadi" w:eastAsia="Times New Roman" w:hAnsi="Abadi" w:cs="Times New Roman"/>
          <w:color w:val="002060"/>
          <w:sz w:val="24"/>
          <w:szCs w:val="24"/>
        </w:rPr>
        <w:t xml:space="preserve">and our full </w:t>
      </w:r>
      <w:r w:rsidRPr="00F15FE7">
        <w:rPr>
          <w:rFonts w:ascii="Abadi" w:eastAsia="Times New Roman" w:hAnsi="Abadi" w:cs="Times New Roman"/>
          <w:b/>
          <w:bCs/>
          <w:color w:val="002060"/>
          <w:sz w:val="24"/>
          <w:szCs w:val="24"/>
        </w:rPr>
        <w:t>calendar of live online webinars</w:t>
      </w:r>
      <w:r w:rsidRPr="00F15FE7">
        <w:rPr>
          <w:rFonts w:ascii="Abadi" w:eastAsia="Times New Roman" w:hAnsi="Abadi" w:cs="Times New Roman"/>
          <w:color w:val="002060"/>
          <w:sz w:val="24"/>
          <w:szCs w:val="24"/>
        </w:rPr>
        <w:t xml:space="preserve">, while enabling </w:t>
      </w:r>
      <w:r w:rsidRPr="00F15FE7">
        <w:rPr>
          <w:rFonts w:ascii="Abadi" w:eastAsia="Times New Roman" w:hAnsi="Abadi" w:cs="Times New Roman"/>
          <w:b/>
          <w:bCs/>
          <w:color w:val="002060"/>
          <w:sz w:val="24"/>
          <w:szCs w:val="24"/>
        </w:rPr>
        <w:t>seamless FCA CPD reporting</w:t>
      </w:r>
      <w:r w:rsidRPr="00F15FE7">
        <w:rPr>
          <w:rFonts w:ascii="Abadi" w:eastAsia="Times New Roman" w:hAnsi="Abadi" w:cs="Times New Roman"/>
          <w:color w:val="002060"/>
          <w:sz w:val="24"/>
          <w:szCs w:val="24"/>
        </w:rPr>
        <w:t xml:space="preserve"> to ensure compliance with regulatory standards. With </w:t>
      </w:r>
      <w:r w:rsidRPr="00F15FE7">
        <w:rPr>
          <w:rFonts w:ascii="Abadi" w:eastAsia="Times New Roman" w:hAnsi="Abadi" w:cs="Times New Roman"/>
          <w:b/>
          <w:bCs/>
          <w:color w:val="002060"/>
          <w:sz w:val="24"/>
          <w:szCs w:val="24"/>
        </w:rPr>
        <w:t>white-label capability</w:t>
      </w:r>
      <w:r w:rsidRPr="00F15FE7">
        <w:rPr>
          <w:rFonts w:ascii="Abadi" w:eastAsia="Times New Roman" w:hAnsi="Abadi" w:cs="Times New Roman"/>
          <w:color w:val="002060"/>
          <w:sz w:val="24"/>
          <w:szCs w:val="24"/>
        </w:rPr>
        <w:t>, businesses can personalise the platform to reflect their brand identity and offer a consistent, professional learning experience.</w:t>
      </w:r>
    </w:p>
    <w:p w14:paraId="2E964DFC" w14:textId="4C5D7837" w:rsidR="00EE180A" w:rsidRPr="00ED1083" w:rsidRDefault="00EE180A" w:rsidP="00ED1083">
      <w:pPr>
        <w:spacing w:before="100" w:beforeAutospacing="1" w:after="100" w:afterAutospacing="1"/>
        <w:rPr>
          <w:rFonts w:ascii="Abadi" w:eastAsia="Times New Roman" w:hAnsi="Abadi" w:cs="Times New Roman"/>
          <w:color w:val="002060"/>
          <w:sz w:val="24"/>
          <w:szCs w:val="24"/>
        </w:rPr>
      </w:pPr>
      <w:r w:rsidRPr="00EE180A">
        <w:rPr>
          <w:rFonts w:ascii="Abadi" w:eastAsia="Times New Roman" w:hAnsi="Abadi" w:cs="Times New Roman"/>
          <w:color w:val="002060"/>
          <w:sz w:val="24"/>
          <w:szCs w:val="24"/>
        </w:rPr>
        <w:t>Zing</w:t>
      </w:r>
      <w:r w:rsidR="0083194F">
        <w:rPr>
          <w:rFonts w:ascii="Abadi" w:eastAsia="Times New Roman" w:hAnsi="Abadi" w:cs="Times New Roman"/>
          <w:color w:val="002060"/>
          <w:sz w:val="24"/>
          <w:szCs w:val="24"/>
        </w:rPr>
        <w:t xml:space="preserve"> </w:t>
      </w:r>
      <w:r w:rsidRPr="00EE180A">
        <w:rPr>
          <w:rFonts w:ascii="Abadi" w:eastAsia="Times New Roman" w:hAnsi="Abadi" w:cs="Times New Roman"/>
          <w:color w:val="002060"/>
          <w:sz w:val="24"/>
          <w:szCs w:val="24"/>
        </w:rPr>
        <w:t>Total CPD is designed to futureproof learning strategies in an industry where regulation, customer expectations, and market conditions are constantly evolving. Whether you’re an individual looking to advance your career or an organisation aiming to streamline CPD and compliance, Zing365 provides a single, trusted solution.</w:t>
      </w:r>
    </w:p>
    <w:p w14:paraId="16AC94C3" w14:textId="11AAE699" w:rsidR="00EE180A" w:rsidRDefault="00ED1083" w:rsidP="00ED1083">
      <w:pPr>
        <w:spacing w:before="100" w:beforeAutospacing="1" w:after="100" w:afterAutospacing="1"/>
        <w:rPr>
          <w:rFonts w:ascii="Abadi" w:eastAsia="Times New Roman" w:hAnsi="Abadi" w:cs="Times New Roman"/>
          <w:color w:val="002060"/>
          <w:sz w:val="24"/>
          <w:szCs w:val="24"/>
        </w:rPr>
      </w:pPr>
      <w:r w:rsidRPr="00ED1083">
        <w:rPr>
          <w:rFonts w:ascii="Abadi" w:eastAsia="Times New Roman" w:hAnsi="Abadi" w:cs="Times New Roman"/>
          <w:color w:val="002060"/>
          <w:sz w:val="24"/>
          <w:szCs w:val="24"/>
        </w:rPr>
        <w:t xml:space="preserve">“Total CPD is more than a learning system—it’s a strategic partner for CPD excellence in the insurance sector,” said </w:t>
      </w:r>
      <w:r>
        <w:rPr>
          <w:rFonts w:ascii="Abadi" w:eastAsia="Times New Roman" w:hAnsi="Abadi" w:cs="Times New Roman"/>
          <w:color w:val="002060"/>
          <w:sz w:val="24"/>
          <w:szCs w:val="24"/>
        </w:rPr>
        <w:t>Fran Burgess</w:t>
      </w:r>
      <w:r w:rsidRPr="00ED1083">
        <w:rPr>
          <w:rFonts w:ascii="Abadi" w:eastAsia="Times New Roman" w:hAnsi="Abadi" w:cs="Times New Roman"/>
          <w:color w:val="002060"/>
          <w:sz w:val="24"/>
          <w:szCs w:val="24"/>
        </w:rPr>
        <w:t xml:space="preserve"> </w:t>
      </w:r>
      <w:r>
        <w:rPr>
          <w:rFonts w:ascii="Abadi" w:eastAsia="Times New Roman" w:hAnsi="Abadi" w:cs="Times New Roman"/>
          <w:color w:val="002060"/>
          <w:sz w:val="24"/>
          <w:szCs w:val="24"/>
        </w:rPr>
        <w:t xml:space="preserve">CEO </w:t>
      </w:r>
      <w:r w:rsidRPr="00ED1083">
        <w:rPr>
          <w:rFonts w:ascii="Abadi" w:eastAsia="Times New Roman" w:hAnsi="Abadi" w:cs="Times New Roman"/>
          <w:color w:val="002060"/>
          <w:sz w:val="24"/>
          <w:szCs w:val="24"/>
        </w:rPr>
        <w:t>at Zing365. “We’ve developed a flexible and scalable solution that supports individuals at every stage of their professional development, while helping organisations meet governance and compliance obligations with ease.”</w:t>
      </w:r>
    </w:p>
    <w:p w14:paraId="7BC5C930" w14:textId="471B8D75" w:rsidR="00EE180A" w:rsidRDefault="00EE180A" w:rsidP="00ED1083">
      <w:pPr>
        <w:spacing w:before="100" w:beforeAutospacing="1" w:after="100" w:afterAutospacing="1"/>
        <w:rPr>
          <w:rFonts w:ascii="Abadi" w:eastAsia="Times New Roman" w:hAnsi="Abadi" w:cs="Times New Roman"/>
          <w:color w:val="002060"/>
          <w:sz w:val="24"/>
          <w:szCs w:val="24"/>
        </w:rPr>
      </w:pPr>
      <w:r>
        <w:rPr>
          <w:rFonts w:ascii="Abadi" w:eastAsia="Times New Roman" w:hAnsi="Abadi" w:cs="Times New Roman"/>
          <w:color w:val="002060"/>
          <w:sz w:val="24"/>
          <w:szCs w:val="24"/>
        </w:rPr>
        <w:t xml:space="preserve">While </w:t>
      </w:r>
      <w:r w:rsidRPr="00EE180A">
        <w:rPr>
          <w:rFonts w:ascii="Abadi" w:eastAsia="Times New Roman" w:hAnsi="Abadi" w:cs="Times New Roman"/>
          <w:b/>
          <w:bCs/>
          <w:color w:val="002060"/>
          <w:sz w:val="24"/>
          <w:szCs w:val="24"/>
        </w:rPr>
        <w:t xml:space="preserve">Total CPD </w:t>
      </w:r>
      <w:r w:rsidRPr="00EE180A">
        <w:rPr>
          <w:rFonts w:ascii="Abadi" w:eastAsia="Times New Roman" w:hAnsi="Abadi" w:cs="Times New Roman"/>
          <w:color w:val="002060"/>
          <w:sz w:val="24"/>
          <w:szCs w:val="24"/>
        </w:rPr>
        <w:t xml:space="preserve">is </w:t>
      </w:r>
      <w:r>
        <w:rPr>
          <w:rFonts w:ascii="Abadi" w:eastAsia="Times New Roman" w:hAnsi="Abadi" w:cs="Times New Roman"/>
          <w:color w:val="002060"/>
          <w:sz w:val="24"/>
          <w:szCs w:val="24"/>
        </w:rPr>
        <w:t>our all in one, holistic CPD solution, Zing365 also allow companies to access the separate components individually such as:</w:t>
      </w:r>
    </w:p>
    <w:p w14:paraId="4FC89D35" w14:textId="53309AC6" w:rsidR="00ED1083" w:rsidRPr="00ED1083" w:rsidRDefault="00ED1083" w:rsidP="00ED1083">
      <w:pPr>
        <w:spacing w:before="100" w:beforeAutospacing="1" w:after="100" w:afterAutospacing="1"/>
        <w:rPr>
          <w:rFonts w:ascii="Abadi" w:eastAsia="Times New Roman" w:hAnsi="Abadi" w:cs="Times New Roman"/>
          <w:color w:val="002060"/>
          <w:sz w:val="24"/>
          <w:szCs w:val="24"/>
        </w:rPr>
      </w:pPr>
      <w:r w:rsidRPr="00EE180A">
        <w:rPr>
          <w:rFonts w:ascii="Abadi" w:eastAsia="Times New Roman" w:hAnsi="Abadi" w:cs="Times New Roman"/>
          <w:b/>
          <w:bCs/>
          <w:color w:val="002060"/>
          <w:sz w:val="24"/>
          <w:szCs w:val="24"/>
          <w:u w:val="single"/>
        </w:rPr>
        <w:t>Zing Content</w:t>
      </w:r>
      <w:r w:rsidRPr="00ED1083">
        <w:rPr>
          <w:rFonts w:ascii="Abadi" w:eastAsia="Times New Roman" w:hAnsi="Abadi" w:cs="Times New Roman"/>
          <w:color w:val="002060"/>
          <w:sz w:val="24"/>
          <w:szCs w:val="24"/>
        </w:rPr>
        <w:t xml:space="preserve"> </w:t>
      </w:r>
      <w:r w:rsidR="00EE180A">
        <w:rPr>
          <w:rFonts w:ascii="Abadi" w:eastAsia="Times New Roman" w:hAnsi="Abadi" w:cs="Times New Roman"/>
          <w:color w:val="002060"/>
          <w:sz w:val="24"/>
          <w:szCs w:val="24"/>
        </w:rPr>
        <w:t>- E</w:t>
      </w:r>
      <w:r w:rsidRPr="00ED1083">
        <w:rPr>
          <w:rFonts w:ascii="Abadi" w:eastAsia="Times New Roman" w:hAnsi="Abadi" w:cs="Times New Roman"/>
          <w:color w:val="002060"/>
          <w:sz w:val="24"/>
          <w:szCs w:val="24"/>
        </w:rPr>
        <w:t>nabl</w:t>
      </w:r>
      <w:r w:rsidR="00EE180A">
        <w:rPr>
          <w:rFonts w:ascii="Abadi" w:eastAsia="Times New Roman" w:hAnsi="Abadi" w:cs="Times New Roman"/>
          <w:color w:val="002060"/>
          <w:sz w:val="24"/>
          <w:szCs w:val="24"/>
        </w:rPr>
        <w:t>ing</w:t>
      </w:r>
      <w:r w:rsidRPr="00ED1083">
        <w:rPr>
          <w:rFonts w:ascii="Abadi" w:eastAsia="Times New Roman" w:hAnsi="Abadi" w:cs="Times New Roman"/>
          <w:color w:val="002060"/>
          <w:sz w:val="24"/>
          <w:szCs w:val="24"/>
        </w:rPr>
        <w:t xml:space="preserve"> organisations to </w:t>
      </w:r>
      <w:r w:rsidRPr="00ED1083">
        <w:rPr>
          <w:rFonts w:ascii="Abadi" w:eastAsia="Times New Roman" w:hAnsi="Abadi" w:cs="Times New Roman"/>
          <w:b/>
          <w:bCs/>
          <w:color w:val="002060"/>
          <w:sz w:val="24"/>
          <w:szCs w:val="24"/>
        </w:rPr>
        <w:t>license Zing365’s high-quality e-learning materials</w:t>
      </w:r>
      <w:r w:rsidRPr="00ED1083">
        <w:rPr>
          <w:rFonts w:ascii="Abadi" w:eastAsia="Times New Roman" w:hAnsi="Abadi" w:cs="Times New Roman"/>
          <w:color w:val="002060"/>
          <w:sz w:val="24"/>
          <w:szCs w:val="24"/>
        </w:rPr>
        <w:t xml:space="preserve">, giving them direct access to expertly developed modules in </w:t>
      </w:r>
      <w:r w:rsidRPr="00ED1083">
        <w:rPr>
          <w:rFonts w:ascii="Abadi" w:eastAsia="Times New Roman" w:hAnsi="Abadi" w:cs="Times New Roman"/>
          <w:b/>
          <w:bCs/>
          <w:color w:val="002060"/>
          <w:sz w:val="24"/>
          <w:szCs w:val="24"/>
        </w:rPr>
        <w:t>Governance, Risk &amp; Compliance</w:t>
      </w:r>
      <w:r w:rsidRPr="00ED1083">
        <w:rPr>
          <w:rFonts w:ascii="Abadi" w:eastAsia="Times New Roman" w:hAnsi="Abadi" w:cs="Times New Roman"/>
          <w:color w:val="002060"/>
          <w:sz w:val="24"/>
          <w:szCs w:val="24"/>
        </w:rPr>
        <w:t xml:space="preserve">, </w:t>
      </w:r>
      <w:r w:rsidRPr="00ED1083">
        <w:rPr>
          <w:rFonts w:ascii="Abadi" w:eastAsia="Times New Roman" w:hAnsi="Abadi" w:cs="Times New Roman"/>
          <w:b/>
          <w:bCs/>
          <w:color w:val="002060"/>
          <w:sz w:val="24"/>
          <w:szCs w:val="24"/>
        </w:rPr>
        <w:t>General Insurance</w:t>
      </w:r>
      <w:r w:rsidRPr="00ED1083">
        <w:rPr>
          <w:rFonts w:ascii="Abadi" w:eastAsia="Times New Roman" w:hAnsi="Abadi" w:cs="Times New Roman"/>
          <w:color w:val="002060"/>
          <w:sz w:val="24"/>
          <w:szCs w:val="24"/>
        </w:rPr>
        <w:t xml:space="preserve">, and </w:t>
      </w:r>
      <w:r w:rsidRPr="00ED1083">
        <w:rPr>
          <w:rFonts w:ascii="Abadi" w:eastAsia="Times New Roman" w:hAnsi="Abadi" w:cs="Times New Roman"/>
          <w:b/>
          <w:bCs/>
          <w:color w:val="002060"/>
          <w:sz w:val="24"/>
          <w:szCs w:val="24"/>
        </w:rPr>
        <w:t>ESG &amp; Sustainability</w:t>
      </w:r>
      <w:r w:rsidRPr="00ED1083">
        <w:rPr>
          <w:rFonts w:ascii="Abadi" w:eastAsia="Times New Roman" w:hAnsi="Abadi" w:cs="Times New Roman"/>
          <w:color w:val="002060"/>
          <w:sz w:val="24"/>
          <w:szCs w:val="24"/>
        </w:rPr>
        <w:t>. This allows internal teams to integrate best-in-class training into their own platforms or use them as standalone resources.</w:t>
      </w:r>
    </w:p>
    <w:p w14:paraId="5E43D930" w14:textId="6B3411FA" w:rsidR="00ED1083" w:rsidRPr="00ED1083" w:rsidRDefault="00EE180A" w:rsidP="00ED1083">
      <w:pPr>
        <w:spacing w:before="100" w:beforeAutospacing="1" w:after="100" w:afterAutospacing="1"/>
        <w:rPr>
          <w:rFonts w:ascii="Abadi" w:eastAsia="Times New Roman" w:hAnsi="Abadi" w:cs="Times New Roman"/>
          <w:color w:val="002060"/>
          <w:sz w:val="24"/>
          <w:szCs w:val="24"/>
        </w:rPr>
      </w:pPr>
      <w:r w:rsidRPr="00EE180A">
        <w:rPr>
          <w:rFonts w:ascii="Abadi" w:eastAsia="Times New Roman" w:hAnsi="Abadi" w:cs="Times New Roman"/>
          <w:b/>
          <w:bCs/>
          <w:color w:val="002060"/>
          <w:sz w:val="24"/>
          <w:szCs w:val="24"/>
          <w:u w:val="single"/>
        </w:rPr>
        <w:t>Zing Live</w:t>
      </w:r>
      <w:r w:rsidRPr="00EE180A">
        <w:rPr>
          <w:rFonts w:ascii="Abadi" w:eastAsia="Times New Roman" w:hAnsi="Abadi" w:cs="Times New Roman"/>
          <w:b/>
          <w:bCs/>
          <w:color w:val="002060"/>
          <w:sz w:val="24"/>
          <w:szCs w:val="24"/>
        </w:rPr>
        <w:t xml:space="preserve"> -</w:t>
      </w:r>
      <w:r>
        <w:rPr>
          <w:rFonts w:ascii="Abadi" w:eastAsia="Times New Roman" w:hAnsi="Abadi" w:cs="Times New Roman"/>
          <w:color w:val="002060"/>
          <w:sz w:val="24"/>
          <w:szCs w:val="24"/>
        </w:rPr>
        <w:t xml:space="preserve"> </w:t>
      </w:r>
      <w:r w:rsidR="00ED1083" w:rsidRPr="00ED1083">
        <w:rPr>
          <w:rFonts w:ascii="Abadi" w:eastAsia="Times New Roman" w:hAnsi="Abadi" w:cs="Times New Roman"/>
          <w:color w:val="002060"/>
          <w:sz w:val="24"/>
          <w:szCs w:val="24"/>
        </w:rPr>
        <w:t xml:space="preserve">For professionals who thrive on real-time interaction and current insights, </w:t>
      </w:r>
      <w:r w:rsidR="00ED1083" w:rsidRPr="00ED1083">
        <w:rPr>
          <w:rFonts w:ascii="Abadi" w:eastAsia="Times New Roman" w:hAnsi="Abadi" w:cs="Times New Roman"/>
          <w:b/>
          <w:bCs/>
          <w:color w:val="002060"/>
          <w:sz w:val="24"/>
          <w:szCs w:val="24"/>
        </w:rPr>
        <w:t>Zing Live</w:t>
      </w:r>
      <w:r w:rsidR="00ED1083" w:rsidRPr="00ED1083">
        <w:rPr>
          <w:rFonts w:ascii="Abadi" w:eastAsia="Times New Roman" w:hAnsi="Abadi" w:cs="Times New Roman"/>
          <w:color w:val="002060"/>
          <w:sz w:val="24"/>
          <w:szCs w:val="24"/>
        </w:rPr>
        <w:t xml:space="preserve"> offers </w:t>
      </w:r>
      <w:r w:rsidR="00ED1083" w:rsidRPr="00ED1083">
        <w:rPr>
          <w:rFonts w:ascii="Abadi" w:eastAsia="Times New Roman" w:hAnsi="Abadi" w:cs="Times New Roman"/>
          <w:b/>
          <w:bCs/>
          <w:color w:val="002060"/>
          <w:sz w:val="24"/>
          <w:szCs w:val="24"/>
        </w:rPr>
        <w:t>over 150 live online webinars per year</w:t>
      </w:r>
      <w:r w:rsidR="00ED1083" w:rsidRPr="00ED1083">
        <w:rPr>
          <w:rFonts w:ascii="Abadi" w:eastAsia="Times New Roman" w:hAnsi="Abadi" w:cs="Times New Roman"/>
          <w:color w:val="002060"/>
          <w:sz w:val="24"/>
          <w:szCs w:val="24"/>
        </w:rPr>
        <w:t xml:space="preserve">, delivered by industry experts. </w:t>
      </w:r>
      <w:r w:rsidR="00ED1083" w:rsidRPr="00ED1083">
        <w:rPr>
          <w:rFonts w:ascii="Abadi" w:eastAsia="Times New Roman" w:hAnsi="Abadi" w:cs="Times New Roman"/>
          <w:color w:val="002060"/>
          <w:sz w:val="24"/>
          <w:szCs w:val="24"/>
        </w:rPr>
        <w:lastRenderedPageBreak/>
        <w:t xml:space="preserve">Topics span </w:t>
      </w:r>
      <w:r w:rsidR="00ED1083" w:rsidRPr="00ED1083">
        <w:rPr>
          <w:rFonts w:ascii="Abadi" w:eastAsia="Times New Roman" w:hAnsi="Abadi" w:cs="Times New Roman"/>
          <w:b/>
          <w:bCs/>
          <w:color w:val="002060"/>
          <w:sz w:val="24"/>
          <w:szCs w:val="24"/>
        </w:rPr>
        <w:t>insurance</w:t>
      </w:r>
      <w:r w:rsidR="00ED1083" w:rsidRPr="00ED1083">
        <w:rPr>
          <w:rFonts w:ascii="Abadi" w:eastAsia="Times New Roman" w:hAnsi="Abadi" w:cs="Times New Roman"/>
          <w:color w:val="002060"/>
          <w:sz w:val="24"/>
          <w:szCs w:val="24"/>
        </w:rPr>
        <w:t xml:space="preserve">, </w:t>
      </w:r>
      <w:r w:rsidR="00ED1083" w:rsidRPr="00ED1083">
        <w:rPr>
          <w:rFonts w:ascii="Abadi" w:eastAsia="Times New Roman" w:hAnsi="Abadi" w:cs="Times New Roman"/>
          <w:b/>
          <w:bCs/>
          <w:color w:val="002060"/>
          <w:sz w:val="24"/>
          <w:szCs w:val="24"/>
        </w:rPr>
        <w:t>compliance</w:t>
      </w:r>
      <w:r w:rsidR="00ED1083" w:rsidRPr="00ED1083">
        <w:rPr>
          <w:rFonts w:ascii="Abadi" w:eastAsia="Times New Roman" w:hAnsi="Abadi" w:cs="Times New Roman"/>
          <w:color w:val="002060"/>
          <w:sz w:val="24"/>
          <w:szCs w:val="24"/>
        </w:rPr>
        <w:t xml:space="preserve">, and </w:t>
      </w:r>
      <w:r w:rsidR="00ED1083" w:rsidRPr="00ED1083">
        <w:rPr>
          <w:rFonts w:ascii="Abadi" w:eastAsia="Times New Roman" w:hAnsi="Abadi" w:cs="Times New Roman"/>
          <w:b/>
          <w:bCs/>
          <w:color w:val="002060"/>
          <w:sz w:val="24"/>
          <w:szCs w:val="24"/>
        </w:rPr>
        <w:t>soft skills</w:t>
      </w:r>
      <w:r w:rsidR="00ED1083" w:rsidRPr="00ED1083">
        <w:rPr>
          <w:rFonts w:ascii="Abadi" w:eastAsia="Times New Roman" w:hAnsi="Abadi" w:cs="Times New Roman"/>
          <w:color w:val="002060"/>
          <w:sz w:val="24"/>
          <w:szCs w:val="24"/>
        </w:rPr>
        <w:t>, providing ongoing learning that’s engaging, timely, and impactful.</w:t>
      </w:r>
    </w:p>
    <w:p w14:paraId="6BEFE598" w14:textId="5FCCAA3F" w:rsidR="00ED1083" w:rsidRPr="00ED1083" w:rsidRDefault="00EE180A" w:rsidP="00ED1083">
      <w:pPr>
        <w:spacing w:before="100" w:beforeAutospacing="1" w:after="100" w:afterAutospacing="1"/>
        <w:rPr>
          <w:rFonts w:ascii="Abadi" w:eastAsia="Times New Roman" w:hAnsi="Abadi" w:cs="Times New Roman"/>
          <w:color w:val="002060"/>
          <w:sz w:val="24"/>
          <w:szCs w:val="24"/>
        </w:rPr>
      </w:pPr>
      <w:r w:rsidRPr="00EE180A">
        <w:rPr>
          <w:rFonts w:ascii="Abadi" w:eastAsia="Times New Roman" w:hAnsi="Abadi" w:cs="Times New Roman"/>
          <w:b/>
          <w:bCs/>
          <w:color w:val="002060"/>
          <w:sz w:val="24"/>
          <w:szCs w:val="24"/>
          <w:u w:val="single"/>
        </w:rPr>
        <w:t>Zing Live Bespoke</w:t>
      </w:r>
      <w:r>
        <w:rPr>
          <w:rFonts w:ascii="Abadi" w:eastAsia="Times New Roman" w:hAnsi="Abadi" w:cs="Times New Roman"/>
          <w:color w:val="002060"/>
          <w:sz w:val="24"/>
          <w:szCs w:val="24"/>
        </w:rPr>
        <w:t xml:space="preserve"> - </w:t>
      </w:r>
      <w:r w:rsidR="00ED1083" w:rsidRPr="00ED1083">
        <w:rPr>
          <w:rFonts w:ascii="Abadi" w:eastAsia="Times New Roman" w:hAnsi="Abadi" w:cs="Times New Roman"/>
          <w:color w:val="002060"/>
          <w:sz w:val="24"/>
          <w:szCs w:val="24"/>
        </w:rPr>
        <w:t xml:space="preserve">Recognising the need for customised learning experiences, </w:t>
      </w:r>
      <w:r w:rsidR="00ED1083" w:rsidRPr="00ED1083">
        <w:rPr>
          <w:rFonts w:ascii="Abadi" w:eastAsia="Times New Roman" w:hAnsi="Abadi" w:cs="Times New Roman"/>
          <w:b/>
          <w:bCs/>
          <w:color w:val="002060"/>
          <w:sz w:val="24"/>
          <w:szCs w:val="24"/>
        </w:rPr>
        <w:t>Zing Live Bespoke</w:t>
      </w:r>
      <w:r w:rsidR="00ED1083" w:rsidRPr="00ED1083">
        <w:rPr>
          <w:rFonts w:ascii="Abadi" w:eastAsia="Times New Roman" w:hAnsi="Abadi" w:cs="Times New Roman"/>
          <w:color w:val="002060"/>
          <w:sz w:val="24"/>
          <w:szCs w:val="24"/>
        </w:rPr>
        <w:t xml:space="preserve"> delivers </w:t>
      </w:r>
      <w:r w:rsidR="00ED1083" w:rsidRPr="00ED1083">
        <w:rPr>
          <w:rFonts w:ascii="Abadi" w:eastAsia="Times New Roman" w:hAnsi="Abadi" w:cs="Times New Roman"/>
          <w:b/>
          <w:bCs/>
          <w:color w:val="002060"/>
          <w:sz w:val="24"/>
          <w:szCs w:val="24"/>
        </w:rPr>
        <w:t>tailored webinars and workshops</w:t>
      </w:r>
      <w:r w:rsidR="00ED1083" w:rsidRPr="00ED1083">
        <w:rPr>
          <w:rFonts w:ascii="Abadi" w:eastAsia="Times New Roman" w:hAnsi="Abadi" w:cs="Times New Roman"/>
          <w:color w:val="002060"/>
          <w:sz w:val="24"/>
          <w:szCs w:val="24"/>
        </w:rPr>
        <w:t xml:space="preserve">, available both </w:t>
      </w:r>
      <w:r w:rsidR="00ED1083" w:rsidRPr="00ED1083">
        <w:rPr>
          <w:rFonts w:ascii="Abadi" w:eastAsia="Times New Roman" w:hAnsi="Abadi" w:cs="Times New Roman"/>
          <w:b/>
          <w:bCs/>
          <w:color w:val="002060"/>
          <w:sz w:val="24"/>
          <w:szCs w:val="24"/>
        </w:rPr>
        <w:t>online and in-person</w:t>
      </w:r>
      <w:r w:rsidR="00ED1083" w:rsidRPr="00ED1083">
        <w:rPr>
          <w:rFonts w:ascii="Abadi" w:eastAsia="Times New Roman" w:hAnsi="Abadi" w:cs="Times New Roman"/>
          <w:color w:val="002060"/>
          <w:sz w:val="24"/>
          <w:szCs w:val="24"/>
        </w:rPr>
        <w:t xml:space="preserve">, on themes such as </w:t>
      </w:r>
      <w:r w:rsidR="00ED1083" w:rsidRPr="00ED1083">
        <w:rPr>
          <w:rFonts w:ascii="Abadi" w:eastAsia="Times New Roman" w:hAnsi="Abadi" w:cs="Times New Roman"/>
          <w:b/>
          <w:bCs/>
          <w:color w:val="002060"/>
          <w:sz w:val="24"/>
          <w:szCs w:val="24"/>
        </w:rPr>
        <w:t>General Insurance</w:t>
      </w:r>
      <w:r w:rsidR="00ED1083" w:rsidRPr="00ED1083">
        <w:rPr>
          <w:rFonts w:ascii="Abadi" w:eastAsia="Times New Roman" w:hAnsi="Abadi" w:cs="Times New Roman"/>
          <w:color w:val="002060"/>
          <w:sz w:val="24"/>
          <w:szCs w:val="24"/>
        </w:rPr>
        <w:t xml:space="preserve">, </w:t>
      </w:r>
      <w:r w:rsidR="00ED1083" w:rsidRPr="00ED1083">
        <w:rPr>
          <w:rFonts w:ascii="Abadi" w:eastAsia="Times New Roman" w:hAnsi="Abadi" w:cs="Times New Roman"/>
          <w:b/>
          <w:bCs/>
          <w:color w:val="002060"/>
          <w:sz w:val="24"/>
          <w:szCs w:val="24"/>
        </w:rPr>
        <w:t>Leadership &amp; Management</w:t>
      </w:r>
      <w:r w:rsidR="00ED1083" w:rsidRPr="00ED1083">
        <w:rPr>
          <w:rFonts w:ascii="Abadi" w:eastAsia="Times New Roman" w:hAnsi="Abadi" w:cs="Times New Roman"/>
          <w:color w:val="002060"/>
          <w:sz w:val="24"/>
          <w:szCs w:val="24"/>
        </w:rPr>
        <w:t xml:space="preserve">, and </w:t>
      </w:r>
      <w:r w:rsidR="00ED1083" w:rsidRPr="00ED1083">
        <w:rPr>
          <w:rFonts w:ascii="Abadi" w:eastAsia="Times New Roman" w:hAnsi="Abadi" w:cs="Times New Roman"/>
          <w:b/>
          <w:bCs/>
          <w:color w:val="002060"/>
          <w:sz w:val="24"/>
          <w:szCs w:val="24"/>
        </w:rPr>
        <w:t>Compliance</w:t>
      </w:r>
      <w:r w:rsidR="00ED1083" w:rsidRPr="00ED1083">
        <w:rPr>
          <w:rFonts w:ascii="Abadi" w:eastAsia="Times New Roman" w:hAnsi="Abadi" w:cs="Times New Roman"/>
          <w:color w:val="002060"/>
          <w:sz w:val="24"/>
          <w:szCs w:val="24"/>
        </w:rPr>
        <w:t>. These bespoke sessions are ideal for teams with specific goals, regulatory requirements, or professional development plans.</w:t>
      </w:r>
    </w:p>
    <w:p w14:paraId="2567FF16" w14:textId="77777777" w:rsidR="00101877" w:rsidRPr="00ED1083" w:rsidRDefault="00101877" w:rsidP="000B6515">
      <w:pPr>
        <w:spacing w:line="278" w:lineRule="auto"/>
        <w:jc w:val="both"/>
        <w:rPr>
          <w:rFonts w:ascii="Abadi" w:hAnsi="Abadi" w:cs="Open Sans"/>
          <w:b/>
          <w:bCs/>
          <w:color w:val="002060"/>
          <w:sz w:val="23"/>
          <w:szCs w:val="23"/>
        </w:rPr>
      </w:pPr>
    </w:p>
    <w:sectPr w:rsidR="00101877" w:rsidRPr="00ED108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B5DD6" w14:textId="77777777" w:rsidR="00811203" w:rsidRDefault="00811203">
      <w:r>
        <w:separator/>
      </w:r>
    </w:p>
  </w:endnote>
  <w:endnote w:type="continuationSeparator" w:id="0">
    <w:p w14:paraId="71F64EC9" w14:textId="77777777" w:rsidR="00811203" w:rsidRDefault="0081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altName w:val="Open Sans"/>
    <w:charset w:val="00"/>
    <w:family w:val="swiss"/>
    <w:pitch w:val="variable"/>
    <w:sig w:usb0="E00002EF" w:usb1="4000205B" w:usb2="00000028" w:usb3="00000000" w:csb0="0000019F" w:csb1="00000000"/>
  </w:font>
  <w:font w:name="Merriweather">
    <w:altName w:val="Merriweather Light"/>
    <w:charset w:val="00"/>
    <w:family w:val="auto"/>
    <w:pitch w:val="variable"/>
    <w:sig w:usb0="20000207" w:usb1="00000002" w:usb2="00000000" w:usb3="00000000" w:csb0="00000197" w:csb1="00000000"/>
  </w:font>
  <w:font w:name="Abadi">
    <w:charset w:val="00"/>
    <w:family w:val="swiss"/>
    <w:pitch w:val="variable"/>
    <w:sig w:usb0="80000003" w:usb1="00000000" w:usb2="00000000" w:usb3="00000000" w:csb0="00000001"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9BFD4" w14:textId="3E5B3CEB" w:rsidR="004D36D9" w:rsidRPr="00556A47" w:rsidRDefault="0083194F" w:rsidP="00E0128F">
    <w:pPr>
      <w:pStyle w:val="FooterDescriptor"/>
      <w:rPr>
        <w:sz w:val="18"/>
      </w:rPr>
    </w:pPr>
    <w:sdt>
      <w:sdtPr>
        <w:rPr>
          <w:rStyle w:val="PageNumber"/>
          <w:rFonts w:ascii="Noto Sans" w:hAnsi="Noto Sans" w:cs="Noto Sans"/>
          <w:sz w:val="16"/>
          <w:szCs w:val="16"/>
        </w:rPr>
        <w:id w:val="-1216657901"/>
        <w:docPartObj>
          <w:docPartGallery w:val="Page Numbers (Bottom of Page)"/>
          <w:docPartUnique/>
        </w:docPartObj>
      </w:sdtPr>
      <w:sdtEndPr>
        <w:rPr>
          <w:rStyle w:val="PageNumber"/>
          <w:sz w:val="18"/>
          <w:szCs w:val="18"/>
        </w:rPr>
      </w:sdtEndPr>
      <w:sdtContent>
        <w:r w:rsidR="004D36D9" w:rsidRPr="00B2294C">
          <w:rPr>
            <w:rStyle w:val="PageNumber"/>
            <w:rFonts w:cs="Arial"/>
            <w:b w:val="0"/>
            <w:bCs/>
            <w:sz w:val="18"/>
          </w:rPr>
          <w:fldChar w:fldCharType="begin"/>
        </w:r>
        <w:r w:rsidR="004D36D9" w:rsidRPr="00B2294C">
          <w:rPr>
            <w:rStyle w:val="PageNumber"/>
            <w:rFonts w:cs="Arial"/>
            <w:bCs/>
            <w:sz w:val="18"/>
          </w:rPr>
          <w:instrText xml:space="preserve"> PAGE </w:instrText>
        </w:r>
        <w:r w:rsidR="004D36D9" w:rsidRPr="00B2294C">
          <w:rPr>
            <w:rStyle w:val="PageNumber"/>
            <w:rFonts w:cs="Arial"/>
            <w:b w:val="0"/>
            <w:bCs/>
            <w:sz w:val="18"/>
          </w:rPr>
          <w:fldChar w:fldCharType="separate"/>
        </w:r>
        <w:r w:rsidR="004D36D9">
          <w:rPr>
            <w:rStyle w:val="PageNumber"/>
            <w:rFonts w:cs="Arial"/>
            <w:bCs/>
            <w:noProof/>
            <w:sz w:val="18"/>
          </w:rPr>
          <w:t>3</w:t>
        </w:r>
        <w:r w:rsidR="004D36D9" w:rsidRPr="00B2294C">
          <w:rPr>
            <w:rStyle w:val="PageNumber"/>
            <w:rFonts w:cs="Arial"/>
            <w:b w:val="0"/>
            <w:bCs/>
            <w:sz w:val="18"/>
          </w:rPr>
          <w:fldChar w:fldCharType="end"/>
        </w:r>
        <w:r w:rsidR="004D36D9" w:rsidRPr="00B2294C">
          <w:rPr>
            <w:rStyle w:val="PageNumber"/>
            <w:rFonts w:cs="Arial"/>
            <w:sz w:val="18"/>
          </w:rPr>
          <w:t xml:space="preserve"> </w:t>
        </w:r>
      </w:sdtContent>
    </w:sdt>
    <w:r w:rsidR="004D36D9" w:rsidRPr="00556A47">
      <w:rPr>
        <w:sz w:val="18"/>
      </w:rPr>
      <w:t xml:space="preserve"> | </w:t>
    </w:r>
    <w:sdt>
      <w:sdtPr>
        <w:rPr>
          <w:sz w:val="18"/>
        </w:rPr>
        <w:alias w:val="Title"/>
        <w:tag w:val=""/>
        <w:id w:val="-1508136544"/>
        <w:showingPlcHdr/>
        <w:dataBinding w:prefixMappings="xmlns:ns0='http://purl.org/dc/elements/1.1/' xmlns:ns1='http://schemas.openxmlformats.org/package/2006/metadata/core-properties' " w:xpath="/ns1:coreProperties[1]/ns0:title[1]" w:storeItemID="{6C3C8BC8-F283-45AE-878A-BAB7291924A1}"/>
        <w:text/>
      </w:sdtPr>
      <w:sdtEndPr/>
      <w:sdtContent>
        <w:r w:rsidR="00660086">
          <w:rPr>
            <w:sz w:val="18"/>
          </w:rPr>
          <w:t xml:space="preserve">     </w:t>
        </w:r>
      </w:sdtContent>
    </w:sdt>
  </w:p>
  <w:p w14:paraId="29B0F292" w14:textId="77777777" w:rsidR="004D36D9" w:rsidRDefault="004D36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9436A" w14:textId="77777777" w:rsidR="00811203" w:rsidRDefault="00811203">
      <w:r>
        <w:separator/>
      </w:r>
    </w:p>
  </w:footnote>
  <w:footnote w:type="continuationSeparator" w:id="0">
    <w:p w14:paraId="4C1FFD5C" w14:textId="77777777" w:rsidR="00811203" w:rsidRDefault="00811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3447"/>
    <w:multiLevelType w:val="hybridMultilevel"/>
    <w:tmpl w:val="8656FE9A"/>
    <w:lvl w:ilvl="0" w:tplc="D0EC96C6">
      <w:start w:val="1"/>
      <w:numFmt w:val="bullet"/>
      <w:pStyle w:val="ListBullet"/>
      <w:lvlText w:val=""/>
      <w:lvlJc w:val="left"/>
      <w:pPr>
        <w:ind w:left="284" w:hanging="284"/>
      </w:pPr>
      <w:rPr>
        <w:rFonts w:ascii="Symbol" w:hAnsi="Symbol" w:hint="default"/>
        <w:color w:val="D60056"/>
      </w:rPr>
    </w:lvl>
    <w:lvl w:ilvl="1" w:tplc="26002F9A">
      <w:start w:val="1"/>
      <w:numFmt w:val="bullet"/>
      <w:pStyle w:val="ListBullet2"/>
      <w:lvlText w:val="o"/>
      <w:lvlJc w:val="left"/>
      <w:pPr>
        <w:ind w:left="1440" w:hanging="360"/>
      </w:pPr>
      <w:rPr>
        <w:rFonts w:ascii="Courier New" w:hAnsi="Courier New" w:hint="default"/>
        <w:color w:val="E8E8E8" w:themeColor="background2"/>
      </w:rPr>
    </w:lvl>
    <w:lvl w:ilvl="2" w:tplc="E996B352">
      <w:start w:val="1"/>
      <w:numFmt w:val="bullet"/>
      <w:pStyle w:val="ListBullet3"/>
      <w:lvlText w:val=""/>
      <w:lvlJc w:val="left"/>
      <w:pPr>
        <w:ind w:left="2160" w:hanging="360"/>
      </w:pPr>
      <w:rPr>
        <w:rFonts w:ascii="Wingdings" w:hAnsi="Wingdings" w:hint="default"/>
        <w:color w:val="E8E8E8" w:themeColor="background2"/>
      </w:rPr>
    </w:lvl>
    <w:lvl w:ilvl="3" w:tplc="08090001">
      <w:start w:val="1"/>
      <w:numFmt w:val="bullet"/>
      <w:pStyle w:val="ListBullet4"/>
      <w:lvlText w:val=""/>
      <w:lvlJc w:val="left"/>
      <w:pPr>
        <w:ind w:left="2880" w:hanging="360"/>
      </w:pPr>
      <w:rPr>
        <w:rFonts w:ascii="Symbol" w:hAnsi="Symbol" w:hint="default"/>
      </w:rPr>
    </w:lvl>
    <w:lvl w:ilvl="4" w:tplc="08090003">
      <w:start w:val="1"/>
      <w:numFmt w:val="bullet"/>
      <w:pStyle w:val="ListBullet5"/>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530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15"/>
    <w:rsid w:val="00097716"/>
    <w:rsid w:val="000B6515"/>
    <w:rsid w:val="00101877"/>
    <w:rsid w:val="00103845"/>
    <w:rsid w:val="0023264C"/>
    <w:rsid w:val="00391D31"/>
    <w:rsid w:val="004D36D9"/>
    <w:rsid w:val="00653523"/>
    <w:rsid w:val="00660086"/>
    <w:rsid w:val="006E31F2"/>
    <w:rsid w:val="007A26DE"/>
    <w:rsid w:val="007A7470"/>
    <w:rsid w:val="00811203"/>
    <w:rsid w:val="0083194F"/>
    <w:rsid w:val="00A44001"/>
    <w:rsid w:val="00A960DF"/>
    <w:rsid w:val="00B81F55"/>
    <w:rsid w:val="00BF2C63"/>
    <w:rsid w:val="00CA35FB"/>
    <w:rsid w:val="00ED1083"/>
    <w:rsid w:val="00EE180A"/>
    <w:rsid w:val="00EE3432"/>
    <w:rsid w:val="00F15FE7"/>
    <w:rsid w:val="00F74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49A2"/>
  <w15:chartTrackingRefBased/>
  <w15:docId w15:val="{F99D2E91-E089-46F3-9BD7-D3483BB5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0B6515"/>
    <w:pPr>
      <w:spacing w:after="0" w:line="240" w:lineRule="auto"/>
    </w:pPr>
    <w:rPr>
      <w:rFonts w:ascii="Arial" w:eastAsiaTheme="minorEastAsia" w:hAnsi="Arial"/>
      <w:color w:val="000000" w:themeColor="text1"/>
      <w:kern w:val="0"/>
      <w:sz w:val="14"/>
      <w:szCs w:val="18"/>
      <w:lang w:eastAsia="en-GB"/>
      <w14:ligatures w14:val="none"/>
    </w:rPr>
  </w:style>
  <w:style w:type="paragraph" w:styleId="Heading1">
    <w:name w:val="heading 1"/>
    <w:basedOn w:val="Normal"/>
    <w:next w:val="Normal"/>
    <w:link w:val="Heading1Char"/>
    <w:uiPriority w:val="9"/>
    <w:qFormat/>
    <w:rsid w:val="000B651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nhideWhenUsed/>
    <w:qFormat/>
    <w:rsid w:val="000B651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B651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B651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0B651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0B651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0B651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0B651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0B651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B6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515"/>
    <w:rPr>
      <w:rFonts w:eastAsiaTheme="majorEastAsia" w:cstheme="majorBidi"/>
      <w:color w:val="272727" w:themeColor="text1" w:themeTint="D8"/>
    </w:rPr>
  </w:style>
  <w:style w:type="paragraph" w:styleId="Title">
    <w:name w:val="Title"/>
    <w:basedOn w:val="Normal"/>
    <w:next w:val="Normal"/>
    <w:link w:val="TitleChar"/>
    <w:uiPriority w:val="10"/>
    <w:qFormat/>
    <w:rsid w:val="000B6515"/>
    <w:pPr>
      <w:spacing w:after="80"/>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B6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51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B6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515"/>
    <w:pPr>
      <w:spacing w:before="160" w:after="160" w:line="259" w:lineRule="auto"/>
      <w:jc w:val="center"/>
    </w:pPr>
    <w:rPr>
      <w:rFonts w:asciiTheme="minorHAnsi" w:eastAsiaTheme="minorHAnsi" w:hAnsiTheme="minorHAns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0B6515"/>
    <w:rPr>
      <w:i/>
      <w:iCs/>
      <w:color w:val="404040" w:themeColor="text1" w:themeTint="BF"/>
    </w:rPr>
  </w:style>
  <w:style w:type="paragraph" w:styleId="ListParagraph">
    <w:name w:val="List Paragraph"/>
    <w:basedOn w:val="Normal"/>
    <w:uiPriority w:val="34"/>
    <w:qFormat/>
    <w:rsid w:val="000B6515"/>
    <w:pPr>
      <w:spacing w:after="160" w:line="259" w:lineRule="auto"/>
      <w:ind w:left="720"/>
      <w:contextualSpacing/>
    </w:pPr>
    <w:rPr>
      <w:rFonts w:asciiTheme="minorHAnsi" w:eastAsiaTheme="minorHAnsi" w:hAnsiTheme="minorHAnsi"/>
      <w:color w:val="auto"/>
      <w:kern w:val="2"/>
      <w:sz w:val="22"/>
      <w:szCs w:val="22"/>
      <w:lang w:eastAsia="en-US"/>
      <w14:ligatures w14:val="standardContextual"/>
    </w:rPr>
  </w:style>
  <w:style w:type="character" w:styleId="IntenseEmphasis">
    <w:name w:val="Intense Emphasis"/>
    <w:basedOn w:val="DefaultParagraphFont"/>
    <w:uiPriority w:val="21"/>
    <w:qFormat/>
    <w:rsid w:val="000B6515"/>
    <w:rPr>
      <w:i/>
      <w:iCs/>
      <w:color w:val="0F4761" w:themeColor="accent1" w:themeShade="BF"/>
    </w:rPr>
  </w:style>
  <w:style w:type="paragraph" w:styleId="IntenseQuote">
    <w:name w:val="Intense Quote"/>
    <w:basedOn w:val="Normal"/>
    <w:next w:val="Normal"/>
    <w:link w:val="IntenseQuoteChar"/>
    <w:uiPriority w:val="30"/>
    <w:qFormat/>
    <w:rsid w:val="000B651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0B6515"/>
    <w:rPr>
      <w:i/>
      <w:iCs/>
      <w:color w:val="0F4761" w:themeColor="accent1" w:themeShade="BF"/>
    </w:rPr>
  </w:style>
  <w:style w:type="character" w:styleId="IntenseReference">
    <w:name w:val="Intense Reference"/>
    <w:basedOn w:val="DefaultParagraphFont"/>
    <w:uiPriority w:val="32"/>
    <w:qFormat/>
    <w:rsid w:val="000B6515"/>
    <w:rPr>
      <w:b/>
      <w:bCs/>
      <w:smallCaps/>
      <w:color w:val="0F4761" w:themeColor="accent1" w:themeShade="BF"/>
      <w:spacing w:val="5"/>
    </w:rPr>
  </w:style>
  <w:style w:type="paragraph" w:styleId="BodyText">
    <w:name w:val="Body Text"/>
    <w:basedOn w:val="Normal"/>
    <w:link w:val="BodyTextChar"/>
    <w:unhideWhenUsed/>
    <w:qFormat/>
    <w:rsid w:val="006E31F2"/>
    <w:pPr>
      <w:spacing w:before="120" w:after="240"/>
    </w:pPr>
    <w:rPr>
      <w:sz w:val="20"/>
      <w:szCs w:val="20"/>
    </w:rPr>
  </w:style>
  <w:style w:type="character" w:customStyle="1" w:styleId="BodyTextChar">
    <w:name w:val="Body Text Char"/>
    <w:basedOn w:val="DefaultParagraphFont"/>
    <w:link w:val="BodyText"/>
    <w:rsid w:val="006E31F2"/>
    <w:rPr>
      <w:rFonts w:ascii="Arial" w:eastAsiaTheme="minorEastAsia" w:hAnsi="Arial"/>
      <w:color w:val="000000" w:themeColor="text1"/>
      <w:kern w:val="0"/>
      <w:sz w:val="20"/>
      <w:szCs w:val="20"/>
      <w:lang w:eastAsia="en-GB"/>
      <w14:ligatures w14:val="none"/>
    </w:rPr>
  </w:style>
  <w:style w:type="paragraph" w:styleId="ListBullet">
    <w:name w:val="List Bullet"/>
    <w:basedOn w:val="BodyText"/>
    <w:unhideWhenUsed/>
    <w:qFormat/>
    <w:rsid w:val="006E31F2"/>
    <w:pPr>
      <w:numPr>
        <w:numId w:val="1"/>
      </w:numPr>
      <w:spacing w:after="120"/>
    </w:pPr>
  </w:style>
  <w:style w:type="paragraph" w:styleId="ListBullet2">
    <w:name w:val="List Bullet 2"/>
    <w:basedOn w:val="ListBullet"/>
    <w:semiHidden/>
    <w:rsid w:val="006E31F2"/>
    <w:pPr>
      <w:numPr>
        <w:ilvl w:val="1"/>
      </w:numPr>
      <w:ind w:left="851" w:hanging="284"/>
    </w:pPr>
  </w:style>
  <w:style w:type="paragraph" w:styleId="ListBullet3">
    <w:name w:val="List Bullet 3"/>
    <w:basedOn w:val="ListBullet2"/>
    <w:semiHidden/>
    <w:rsid w:val="006E31F2"/>
    <w:pPr>
      <w:numPr>
        <w:ilvl w:val="2"/>
      </w:numPr>
      <w:ind w:left="1418" w:hanging="284"/>
    </w:pPr>
  </w:style>
  <w:style w:type="paragraph" w:styleId="ListBullet4">
    <w:name w:val="List Bullet 4"/>
    <w:basedOn w:val="ListBullet3"/>
    <w:semiHidden/>
    <w:rsid w:val="006E31F2"/>
    <w:pPr>
      <w:numPr>
        <w:ilvl w:val="3"/>
      </w:numPr>
    </w:pPr>
  </w:style>
  <w:style w:type="paragraph" w:styleId="ListBullet5">
    <w:name w:val="List Bullet 5"/>
    <w:basedOn w:val="ListBullet4"/>
    <w:semiHidden/>
    <w:rsid w:val="006E31F2"/>
    <w:pPr>
      <w:numPr>
        <w:ilvl w:val="4"/>
      </w:numPr>
    </w:pPr>
  </w:style>
  <w:style w:type="table" w:styleId="TableGrid">
    <w:name w:val="Table Grid"/>
    <w:basedOn w:val="TableNormal"/>
    <w:uiPriority w:val="59"/>
    <w:rsid w:val="006E31F2"/>
    <w:pPr>
      <w:spacing w:after="0" w:line="240" w:lineRule="auto"/>
    </w:pPr>
    <w:rPr>
      <w:rFonts w:eastAsiaTheme="minorEastAsia"/>
      <w:color w:val="000000" w:themeColor="text1"/>
      <w:kern w:val="0"/>
      <w:sz w:val="18"/>
      <w:szCs w:val="18"/>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escriptor">
    <w:name w:val="Footer Descriptor"/>
    <w:basedOn w:val="Normal"/>
    <w:unhideWhenUsed/>
    <w:rsid w:val="006E31F2"/>
    <w:pPr>
      <w:pBdr>
        <w:top w:val="single" w:sz="4" w:space="8" w:color="000000" w:themeColor="text1"/>
      </w:pBdr>
      <w:tabs>
        <w:tab w:val="center" w:pos="4513"/>
        <w:tab w:val="right" w:pos="9026"/>
      </w:tabs>
      <w:spacing w:before="120" w:line="200" w:lineRule="exact"/>
    </w:pPr>
  </w:style>
  <w:style w:type="character" w:styleId="PageNumber">
    <w:name w:val="page number"/>
    <w:basedOn w:val="DefaultParagraphFont"/>
    <w:uiPriority w:val="99"/>
    <w:unhideWhenUsed/>
    <w:rsid w:val="006E31F2"/>
    <w:rPr>
      <w:rFonts w:ascii="Arial" w:hAnsi="Arial"/>
      <w:b/>
      <w:color w:val="E8E8E8" w:themeColor="background2"/>
    </w:rPr>
  </w:style>
  <w:style w:type="character" w:styleId="CommentReference">
    <w:name w:val="annotation reference"/>
    <w:basedOn w:val="DefaultParagraphFont"/>
    <w:uiPriority w:val="99"/>
    <w:semiHidden/>
    <w:unhideWhenUsed/>
    <w:rsid w:val="00CA35FB"/>
    <w:rPr>
      <w:sz w:val="16"/>
      <w:szCs w:val="16"/>
    </w:rPr>
  </w:style>
  <w:style w:type="paragraph" w:styleId="CommentText">
    <w:name w:val="annotation text"/>
    <w:basedOn w:val="Normal"/>
    <w:link w:val="CommentTextChar"/>
    <w:uiPriority w:val="99"/>
    <w:unhideWhenUsed/>
    <w:rsid w:val="00CA35FB"/>
    <w:rPr>
      <w:sz w:val="20"/>
      <w:szCs w:val="20"/>
    </w:rPr>
  </w:style>
  <w:style w:type="character" w:customStyle="1" w:styleId="CommentTextChar">
    <w:name w:val="Comment Text Char"/>
    <w:basedOn w:val="DefaultParagraphFont"/>
    <w:link w:val="CommentText"/>
    <w:uiPriority w:val="99"/>
    <w:rsid w:val="00CA35FB"/>
    <w:rPr>
      <w:rFonts w:ascii="Arial" w:eastAsiaTheme="minorEastAsia" w:hAnsi="Arial"/>
      <w:color w:val="000000" w:themeColor="text1"/>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CA35FB"/>
    <w:rPr>
      <w:b/>
      <w:bCs/>
    </w:rPr>
  </w:style>
  <w:style w:type="character" w:customStyle="1" w:styleId="CommentSubjectChar">
    <w:name w:val="Comment Subject Char"/>
    <w:basedOn w:val="CommentTextChar"/>
    <w:link w:val="CommentSubject"/>
    <w:uiPriority w:val="99"/>
    <w:semiHidden/>
    <w:rsid w:val="00CA35FB"/>
    <w:rPr>
      <w:rFonts w:ascii="Arial" w:eastAsiaTheme="minorEastAsia" w:hAnsi="Arial"/>
      <w:b/>
      <w:bCs/>
      <w:color w:val="000000" w:themeColor="text1"/>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43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3ed80e-da37-41e9-a19b-cba49fa70c27" xsi:nil="true"/>
    <lcf76f155ced4ddcb4097134ff3c332f xmlns="486164aa-2f26-4188-811c-e8bd0e69ff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2437A6497E354999529FD6653892C0" ma:contentTypeVersion="18" ma:contentTypeDescription="Create a new document." ma:contentTypeScope="" ma:versionID="c4cc195ca0569e51094b98dd784be2b9">
  <xsd:schema xmlns:xsd="http://www.w3.org/2001/XMLSchema" xmlns:xs="http://www.w3.org/2001/XMLSchema" xmlns:p="http://schemas.microsoft.com/office/2006/metadata/properties" xmlns:ns2="486164aa-2f26-4188-811c-e8bd0e69ffbb" xmlns:ns3="c83ed80e-da37-41e9-a19b-cba49fa70c27" targetNamespace="http://schemas.microsoft.com/office/2006/metadata/properties" ma:root="true" ma:fieldsID="10b8c8701f97cc99b8bdd6d72f44c653" ns2:_="" ns3:_="">
    <xsd:import namespace="486164aa-2f26-4188-811c-e8bd0e69ffbb"/>
    <xsd:import namespace="c83ed80e-da37-41e9-a19b-cba49fa70c27"/>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164aa-2f26-4188-811c-e8bd0e69f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e1d43b-e3e4-4437-8596-2042d47ef4c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ed80e-da37-41e9-a19b-cba49fa70c2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d578b3-e82a-4a1d-91b8-2bafeda7742f}" ma:internalName="TaxCatchAll" ma:showField="CatchAllData" ma:web="c83ed80e-da37-41e9-a19b-cba49fa70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2F1E5-B342-4376-805B-360A62954D5E}">
  <ds:schemaRefs>
    <ds:schemaRef ds:uri="http://schemas.microsoft.com/office/2006/metadata/properties"/>
    <ds:schemaRef ds:uri="http://schemas.microsoft.com/office/infopath/2007/PartnerControls"/>
    <ds:schemaRef ds:uri="c83ed80e-da37-41e9-a19b-cba49fa70c27"/>
    <ds:schemaRef ds:uri="486164aa-2f26-4188-811c-e8bd0e69ffbb"/>
  </ds:schemaRefs>
</ds:datastoreItem>
</file>

<file path=customXml/itemProps2.xml><?xml version="1.0" encoding="utf-8"?>
<ds:datastoreItem xmlns:ds="http://schemas.openxmlformats.org/officeDocument/2006/customXml" ds:itemID="{8F8D1C6B-118C-4391-A209-FD080D695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164aa-2f26-4188-811c-e8bd0e69ffbb"/>
    <ds:schemaRef ds:uri="c83ed80e-da37-41e9-a19b-cba49fa70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13422F-7030-430A-97CB-B6464D6A5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Read (Zing365)</dc:creator>
  <cp:keywords/>
  <dc:description/>
  <cp:lastModifiedBy>James Read (Zing365)</cp:lastModifiedBy>
  <cp:revision>2</cp:revision>
  <dcterms:created xsi:type="dcterms:W3CDTF">2025-04-16T16:27:00Z</dcterms:created>
  <dcterms:modified xsi:type="dcterms:W3CDTF">2025-04-16T16:27:00Z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0x010100C12437A6497E354999529FD6653892C0</vt:lpwstr>
  </property>
</Properties>
</file>