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Making Cyber Risks Visible — Helping You Win and Retain More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 B67 | BIBA 2025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DynaRisk is excited to be exhibiting at BIBA 2025, where we’ll be helping brokers uncover the hidden cyber risks affecting their clients and prospects — and use that insight to drive stronger conversations and unlock new revenue opportunities.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Breach Check</w:t>
        </w:r>
      </w:hyperlink>
      <w:r w:rsidDel="00000000" w:rsidR="00000000" w:rsidRPr="00000000">
        <w:rPr>
          <w:rtl w:val="0"/>
        </w:rPr>
        <w:t xml:space="preserve">, our cyber risk monitoring platform, scans businesses worldwide for cyber threats. These insights empower brokers to deliver clear, data-driven advice that helps attract new clients and enhance retention.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Visit Stand B67 for a free cyber risk scan</w:t>
      </w:r>
      <w:r w:rsidDel="00000000" w:rsidR="00000000" w:rsidRPr="00000000">
        <w:rPr>
          <w:rtl w:val="0"/>
        </w:rPr>
        <w:t xml:space="preserve"> and see how we help our partners: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Launch new revenue streams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quote volume by 40% and conversions by 20%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Double gross written premium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Cut loss ratios below 40%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Boost client engagement by up to 8x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also work with underwriters and insurance professionals to help manage cyber risk across their portfolios. Our suite of software tools, threat intelligence, and cyber helpline services — all tailored to the insurance industry — provides a comprehensive approach to cyber risk management.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DynaRisk enhances underwriting decisions and integrates technology into personal and commercial lines products, reducing claims, improving customer satisfaction and engagement, and driving product differentiation.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Stop by our stand for a quick chat, a live demonstration, or to learn more about how we can support your business.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Find out more: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www.dynarisk.com</w:t>
        </w:r>
      </w:hyperlink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info@dynarisk.com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ynarisk.com/products/breach-check" TargetMode="External"/><Relationship Id="rId7" Type="http://schemas.openxmlformats.org/officeDocument/2006/relationships/hyperlink" Target="http://www.dynari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